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10" w:leftChars="-100"/>
        <w:jc w:val="center"/>
        <w:rPr>
          <w:rFonts w:hint="eastAsia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江西省绿色建筑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基本级</w:t>
      </w:r>
      <w:r>
        <w:rPr>
          <w:rFonts w:hint="eastAsia" w:ascii="Times New Roman" w:hAnsi="Times New Roman"/>
          <w:b/>
          <w:sz w:val="28"/>
          <w:szCs w:val="28"/>
        </w:rPr>
        <w:t>设计专篇（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2021年版）</w:t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建筑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专业</w:t>
      </w:r>
    </w:p>
    <w:p>
      <w:pPr>
        <w:pStyle w:val="24"/>
        <w:numPr>
          <w:ilvl w:val="0"/>
          <w:numId w:val="1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项目概况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项目名称：</w:t>
      </w:r>
      <w:r>
        <w:rPr>
          <w:rFonts w:hint="eastAsia" w:ascii="Times New Roman"/>
          <w:sz w:val="24"/>
          <w:u w:val="single"/>
        </w:rPr>
        <w:t xml:space="preserve">                          </w:t>
      </w:r>
    </w:p>
    <w:p>
      <w:pPr>
        <w:spacing w:line="360" w:lineRule="auto"/>
        <w:ind w:left="142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项目地址：</w:t>
      </w:r>
      <w:r>
        <w:rPr>
          <w:rFonts w:hint="eastAsia" w:ascii="Times New Roman"/>
          <w:sz w:val="24"/>
          <w:u w:val="single"/>
        </w:rPr>
        <w:t xml:space="preserve">                         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用地面积：</w:t>
      </w:r>
      <w:r>
        <w:rPr>
          <w:rFonts w:hint="eastAsia" w:ascii="Times New Roman"/>
          <w:sz w:val="24"/>
          <w:u w:val="single"/>
        </w:rPr>
        <w:t xml:space="preserve">             </w:t>
      </w:r>
      <w:r>
        <w:rPr>
          <w:rFonts w:hint="eastAsia" w:ascii="Times New Roman"/>
          <w:sz w:val="24"/>
        </w:rPr>
        <w:t>总建筑面积：</w:t>
      </w:r>
      <w:r>
        <w:rPr>
          <w:rFonts w:hint="eastAsia" w:ascii="Times New Roman"/>
          <w:sz w:val="24"/>
          <w:u w:val="single"/>
        </w:rPr>
        <w:t xml:space="preserve">             </w:t>
      </w:r>
      <w:r>
        <w:rPr>
          <w:rFonts w:hint="eastAsia" w:ascii="Times New Roman"/>
          <w:sz w:val="24"/>
        </w:rPr>
        <w:t>地上建筑面积：</w:t>
      </w:r>
      <w:r>
        <w:rPr>
          <w:rFonts w:hint="eastAsia" w:ascii="Times New Roman"/>
          <w:sz w:val="24"/>
          <w:u w:val="single"/>
        </w:rPr>
        <w:t xml:space="preserve">            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容积率：</w:t>
      </w:r>
      <w:r>
        <w:rPr>
          <w:rFonts w:hint="eastAsia" w:ascii="Times New Roman"/>
          <w:sz w:val="24"/>
          <w:u w:val="single"/>
        </w:rPr>
        <w:t xml:space="preserve">             </w:t>
      </w:r>
      <w:r>
        <w:rPr>
          <w:rFonts w:hint="eastAsia" w:ascii="Times New Roman"/>
          <w:sz w:val="24"/>
        </w:rPr>
        <w:t>建筑密度：</w:t>
      </w:r>
      <w:r>
        <w:rPr>
          <w:rFonts w:hint="eastAsia" w:ascii="Times New Roman"/>
          <w:sz w:val="24"/>
          <w:u w:val="single"/>
        </w:rPr>
        <w:t xml:space="preserve">             </w:t>
      </w:r>
      <w:r>
        <w:rPr>
          <w:rFonts w:hint="eastAsia" w:ascii="Times New Roman"/>
          <w:sz w:val="24"/>
        </w:rPr>
        <w:t>绿地率：</w:t>
      </w:r>
      <w:r>
        <w:rPr>
          <w:rFonts w:hint="eastAsia" w:ascii="Times New Roman"/>
          <w:sz w:val="24"/>
          <w:u w:val="single"/>
        </w:rPr>
        <w:t xml:space="preserve">             </w:t>
      </w:r>
    </w:p>
    <w:tbl>
      <w:tblPr>
        <w:tblStyle w:val="13"/>
        <w:tblW w:w="8613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95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restart"/>
            <w:vAlign w:val="center"/>
          </w:tcPr>
          <w:p>
            <w:pPr>
              <w:spacing w:line="360" w:lineRule="auto"/>
              <w:ind w:left="-141" w:leftChars="-67" w:right="-107" w:rightChars="-5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建筑类型</w:t>
            </w:r>
          </w:p>
        </w:tc>
        <w:tc>
          <w:tcPr>
            <w:tcW w:w="7460" w:type="dxa"/>
            <w:gridSpan w:val="2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□住宅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</w:tcPr>
          <w:p>
            <w:pPr>
              <w:spacing w:line="360" w:lineRule="auto"/>
              <w:ind w:left="-141" w:leftChars="-67" w:right="-107" w:rightChars="-51"/>
              <w:rPr>
                <w:rFonts w:ascii="Times New Roman"/>
                <w:sz w:val="24"/>
              </w:rPr>
            </w:pPr>
          </w:p>
        </w:tc>
        <w:tc>
          <w:tcPr>
            <w:tcW w:w="7460" w:type="dxa"/>
            <w:gridSpan w:val="2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□公建（□宾馆类  □办公类  □其他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</w:tcPr>
          <w:p>
            <w:pPr>
              <w:spacing w:line="360" w:lineRule="auto"/>
              <w:ind w:left="-141" w:leftChars="-67" w:right="-107" w:rightChars="-51"/>
              <w:rPr>
                <w:rFonts w:ascii="Times New Roman"/>
                <w:sz w:val="24"/>
              </w:rPr>
            </w:pPr>
          </w:p>
        </w:tc>
        <w:tc>
          <w:tcPr>
            <w:tcW w:w="7460" w:type="dxa"/>
            <w:gridSpan w:val="2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□住宅/公建（其中公建属于（□宾馆类  □办公类  □其他</w:t>
            </w:r>
            <w:r>
              <w:rPr>
                <w:rFonts w:hint="eastAsia" w:ascii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/>
                <w:sz w:val="24"/>
              </w:rPr>
              <w:t>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center"/>
          </w:tcPr>
          <w:p>
            <w:pPr>
              <w:spacing w:line="360" w:lineRule="auto"/>
              <w:ind w:left="-141" w:leftChars="-67" w:right="-107" w:rightChars="-5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空调形式</w:t>
            </w:r>
          </w:p>
        </w:tc>
        <w:tc>
          <w:tcPr>
            <w:tcW w:w="746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□集中空调、□分体空调、□集中空调+分体空调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restart"/>
            <w:vAlign w:val="center"/>
          </w:tcPr>
          <w:p>
            <w:pPr>
              <w:spacing w:line="360" w:lineRule="auto"/>
              <w:ind w:left="-141" w:leftChars="-67" w:right="-107" w:rightChars="-5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专项设计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可再生能源利用率</w:t>
            </w:r>
          </w:p>
        </w:tc>
        <w:tc>
          <w:tcPr>
            <w:tcW w:w="6165" w:type="dxa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光热□集中式  □分户式  </w:t>
            </w:r>
          </w:p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产生热水量比例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□光伏发电量比例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提供空调（采暖）用冷量和热量比例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   %</w:t>
            </w:r>
          </w:p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□水源 □地源 □污水源  □其他</w:t>
            </w:r>
            <w:r>
              <w:rPr>
                <w:rFonts w:hint="eastAsia" w:ascii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BIM设计：□是  □否   具体内容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sz w:val="24"/>
              </w:rPr>
              <w:t xml:space="preserve"> （图纸等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其他：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绿色建筑等级</w:t>
            </w:r>
          </w:p>
        </w:tc>
        <w:tc>
          <w:tcPr>
            <w:tcW w:w="746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□基本级□一星级□二星级□三星级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</w:p>
    <w:p>
      <w:pPr>
        <w:pStyle w:val="24"/>
        <w:numPr>
          <w:ilvl w:val="0"/>
          <w:numId w:val="1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设计依据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《民用建筑设计统一标准》GB 50352-2019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《建筑设计防火规范》GB 50016-2014（2018版）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《绿色建筑评价标准》GB/T 50378-2019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 xml:space="preserve">《民用建筑热工设计规范》GB 50176-2016 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《公共建筑节能设计标准》GB 50189-2015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《江西省居住建筑节能设计标准》DBJ/T 36-024-2014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《民用建筑隔声设计规范》GB 50118-2010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《建筑采光设计标准》GB 50033-2013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国家、省、市现行的法律、规范及其他相关规定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</w:p>
    <w:p>
      <w:pPr>
        <w:pStyle w:val="24"/>
        <w:numPr>
          <w:ilvl w:val="0"/>
          <w:numId w:val="1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基本级设计内容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ascii="Times New Roman"/>
          <w:sz w:val="24"/>
        </w:rPr>
        <w:t>场地</w:t>
      </w:r>
      <w:r>
        <w:rPr>
          <w:rFonts w:hint="eastAsia" w:ascii="Times New Roman"/>
          <w:sz w:val="24"/>
        </w:rPr>
        <w:t>应</w:t>
      </w:r>
      <w:r>
        <w:rPr>
          <w:rFonts w:ascii="Times New Roman"/>
          <w:sz w:val="24"/>
        </w:rPr>
        <w:t>避开滑坡、泥石流等地质危险地段，易发生洪涝地区</w:t>
      </w:r>
      <w:r>
        <w:rPr>
          <w:rFonts w:hint="eastAsia" w:ascii="Times New Roman"/>
          <w:sz w:val="24"/>
        </w:rPr>
        <w:t>应</w:t>
      </w:r>
      <w:r>
        <w:rPr>
          <w:rFonts w:ascii="Times New Roman"/>
          <w:sz w:val="24"/>
        </w:rPr>
        <w:t>有可靠的防洪涝基础设施；场地无危险化学品、易燃易爆危险源的威胁，无电磁辐射、含氡土壤的危害。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（1）场地选址附近是否有以下威胁或者危险源：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□洪灾、□泥石流、□风切变、□抗震不利地段（如地震断裂带、易液化土、人工填土等）、□火、爆、有毒物质等（如油库、煤气站、有毒物质车间等）、□以上皆无。</w:t>
      </w:r>
    </w:p>
    <w:p>
      <w:pPr>
        <w:numPr>
          <w:ilvl w:val="0"/>
          <w:numId w:val="4"/>
        </w:num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土壤中的氡浓度符合现行国家标准《民用建筑工程室内环境污染控制规范》GB 50325的规定，详见</w:t>
      </w:r>
      <w:r>
        <w:rPr>
          <w:rFonts w:hint="eastAsia" w:ascii="Times New Roman"/>
          <w:sz w:val="24"/>
          <w:u w:val="single"/>
        </w:rPr>
        <w:t xml:space="preserve">               </w:t>
      </w:r>
      <w:r>
        <w:rPr>
          <w:rFonts w:hint="eastAsia" w:ascii="Times New Roman"/>
          <w:sz w:val="24"/>
        </w:rPr>
        <w:t>；如含氡，防氡措施为：</w:t>
      </w:r>
      <w:r>
        <w:rPr>
          <w:rFonts w:hint="eastAsia" w:ascii="Times New Roman"/>
          <w:sz w:val="24"/>
          <w:u w:val="single"/>
        </w:rPr>
        <w:t xml:space="preserve">                         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（3）电磁辐射符合现行国家标准《电磁辐射防护规定》GB 8702的规定。电磁辐射源：□电视广播发射塔、□雷达站、□通信发射台、□变电站、□高压电线，□其他：</w:t>
      </w:r>
      <w:r>
        <w:rPr>
          <w:rFonts w:hint="eastAsia" w:ascii="Times New Roman"/>
          <w:sz w:val="24"/>
          <w:u w:val="single"/>
        </w:rPr>
        <w:t xml:space="preserve">             </w:t>
      </w:r>
      <w:r>
        <w:rPr>
          <w:rFonts w:hint="eastAsia" w:ascii="Times New Roman"/>
          <w:sz w:val="24"/>
        </w:rPr>
        <w:t xml:space="preserve"> ，详见</w:t>
      </w:r>
      <w:r>
        <w:rPr>
          <w:rFonts w:hint="eastAsia" w:ascii="Times New Roman"/>
          <w:sz w:val="24"/>
          <w:u w:val="single"/>
        </w:rPr>
        <w:t xml:space="preserve">               </w:t>
      </w:r>
      <w:r>
        <w:rPr>
          <w:rFonts w:hint="eastAsia" w:ascii="Times New Roman"/>
          <w:sz w:val="24"/>
        </w:rPr>
        <w:t>；如有，简要说明避免以上威胁或危险源的措施：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；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color w:val="FF0000"/>
          <w:sz w:val="24"/>
        </w:rPr>
        <w:t>建筑外墙、屋面、门窗、幕墙及外保温等围护结构满足安全、耐久和防护的要求。</w:t>
      </w:r>
      <w:r>
        <w:rPr>
          <w:rFonts w:hint="eastAsia" w:ascii="Times New Roman"/>
          <w:sz w:val="24"/>
        </w:rPr>
        <w:t>详见</w:t>
      </w:r>
      <w:r>
        <w:rPr>
          <w:rFonts w:hint="eastAsia" w:ascii="Times New Roman"/>
          <w:sz w:val="24"/>
          <w:u w:val="single"/>
        </w:rPr>
        <w:t xml:space="preserve">               </w:t>
      </w:r>
      <w:r>
        <w:rPr>
          <w:rFonts w:hint="eastAsia" w:ascii="Times New Roman"/>
          <w:sz w:val="24"/>
        </w:rPr>
        <w:t>。（如建筑设计总说明、工程做法和构造一览表等）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外部设施与建筑主体结构统一设计、施工，并具备安装、检修与维护条件。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建筑外部有以下设施：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□外遮阳、□太阳能设施、□空调室外机位、□外墙花池、□广告、□店招、□检修通道、□马道、□吊篮固定端、□预埋件、</w:t>
      </w:r>
      <w:r>
        <w:rPr>
          <w:rFonts w:hint="eastAsia" w:ascii="宋体" w:hAnsi="宋体"/>
          <w:bCs/>
          <w:sz w:val="24"/>
          <w:lang w:val="zh-CN"/>
        </w:rPr>
        <w:t>□</w:t>
      </w:r>
      <w:r>
        <w:rPr>
          <w:rFonts w:hint="eastAsia" w:ascii="宋体" w:hAnsi="宋体"/>
          <w:sz w:val="24"/>
          <w:lang w:val="zh-CN"/>
        </w:rPr>
        <w:t>其他</w:t>
      </w:r>
      <w:r>
        <w:rPr>
          <w:rFonts w:hint="eastAsia" w:ascii="Times New Roman"/>
          <w:sz w:val="24"/>
        </w:rPr>
        <w:t>：</w:t>
      </w:r>
      <w:r>
        <w:rPr>
          <w:rFonts w:hint="eastAsia" w:ascii="Times New Roman"/>
          <w:sz w:val="24"/>
          <w:u w:val="single"/>
        </w:rPr>
        <w:t xml:space="preserve"> 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外部设施的位置、尺寸、构造详见图纸：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建筑外门窗必须安装牢固，建筑外门窗的气密性分级符合国家标准《建筑外门窗气密、水密、抗风压性能分级及检测方法》GB/T 7106、《公共建筑节能设计标准》GB 50189和《江西省居住建筑节能设计标准》DBJ/T 36-024中的相关规定。详见</w:t>
      </w:r>
      <w:r>
        <w:rPr>
          <w:rFonts w:hint="eastAsia" w:ascii="Times New Roman"/>
          <w:sz w:val="24"/>
          <w:u w:val="single"/>
        </w:rPr>
        <w:t xml:space="preserve">               </w:t>
      </w:r>
      <w:r>
        <w:rPr>
          <w:rFonts w:hint="eastAsia" w:ascii="Times New Roman"/>
          <w:sz w:val="24"/>
        </w:rPr>
        <w:t>。（如建筑设计总说明、节能设计专篇、门窗表等）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□卫生间、□浴室、□其他:</w:t>
      </w:r>
      <w:r>
        <w:rPr>
          <w:rFonts w:hint="eastAsia" w:ascii="Times New Roman"/>
          <w:sz w:val="24"/>
          <w:u w:val="single"/>
        </w:rPr>
        <w:t xml:space="preserve">        </w:t>
      </w:r>
      <w:r>
        <w:rPr>
          <w:rFonts w:hint="eastAsia" w:ascii="Times New Roman"/>
          <w:sz w:val="24"/>
        </w:rPr>
        <w:t>的地面设置防水层，墙面、顶棚设置防潮层。防水、防潮措施详见图纸或说明</w:t>
      </w:r>
      <w:r>
        <w:rPr>
          <w:rFonts w:hint="eastAsia" w:ascii="Times New Roman"/>
          <w:sz w:val="24"/>
          <w:u w:val="single"/>
        </w:rPr>
        <w:t xml:space="preserve">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走廊、疏散通道等通行空间满足现行《建筑设计防火规范》GB 50016、《防灾避难场所设计规范》GB 51143对紧急疏散、应急救护等要求，且保持畅通。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合理设置以下设施或措施：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□担架电梯、□避难层、□安全疏散出口、□安全疏散宽度计算、□走道宽度、□安全疏散距离、□防火分区示意图、□其他：</w:t>
      </w:r>
      <w:r>
        <w:rPr>
          <w:rFonts w:hint="eastAsia" w:ascii="Times New Roman"/>
          <w:sz w:val="24"/>
          <w:u w:val="single"/>
        </w:rPr>
        <w:t xml:space="preserve">                </w:t>
      </w:r>
      <w:r>
        <w:rPr>
          <w:rFonts w:hint="eastAsia" w:ascii="Times New Roman"/>
          <w:sz w:val="24"/>
        </w:rPr>
        <w:t>；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详见图纸</w:t>
      </w:r>
      <w:r>
        <w:rPr>
          <w:rFonts w:hint="eastAsia" w:ascii="Times New Roman"/>
          <w:sz w:val="24"/>
          <w:u w:val="single"/>
        </w:rPr>
        <w:t xml:space="preserve">                </w:t>
      </w:r>
      <w:r>
        <w:rPr>
          <w:rFonts w:hint="eastAsia" w:ascii="Times New Roman"/>
          <w:sz w:val="24"/>
        </w:rPr>
        <w:t>。（防火分区示意图及疏散宽度计算等）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具有安全防护的警示和引导标识系统。设置位置详见图纸（文件）：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室内空气中的氨、甲醛、苯、总挥</w:t>
      </w:r>
      <w:bookmarkStart w:id="0" w:name="_GoBack"/>
      <w:bookmarkEnd w:id="0"/>
      <w:r>
        <w:rPr>
          <w:rFonts w:hint="eastAsia" w:ascii="Times New Roman"/>
          <w:sz w:val="24"/>
        </w:rPr>
        <w:t>发性有机物、氡等污染物浓度符合现行国家标准《室内空气质量标准》GB/T 18883的有关规定。</w:t>
      </w:r>
      <w:r>
        <w:rPr>
          <w:rFonts w:hint="eastAsia" w:ascii="Times New Roman"/>
          <w:color w:val="FF0000"/>
          <w:sz w:val="24"/>
        </w:rPr>
        <w:t>建筑室内和建筑主出入口处禁止吸烟，并在醒目位置设置禁烟标志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主要功能房间污染物浓度符合现行国家标准《民用建筑工程室内环境污染控制规范》GB 50325的有关要求，主要功能房间污染物浓度详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（建筑设计说明及工程做法或装修工程一览表等）；禁烟标志、吸烟区的设置位置详见图纸：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主要功能房间的室内噪声级和隔声性能符合下列规定：</w:t>
      </w:r>
      <w:r>
        <w:rPr>
          <w:rFonts w:ascii="Times New Roman"/>
          <w:sz w:val="24"/>
        </w:rPr>
        <w:t xml:space="preserve">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（1）室内噪声级满足现行国家标准《民用建筑隔声设计规范》GB 50118中的低限要求；详见</w:t>
      </w:r>
      <w:r>
        <w:rPr>
          <w:rFonts w:hint="eastAsia" w:ascii="Times New Roman"/>
          <w:sz w:val="24"/>
          <w:u w:val="single"/>
        </w:rPr>
        <w:t>《室内噪声级分析报告》</w:t>
      </w:r>
      <w:r>
        <w:rPr>
          <w:rFonts w:hint="eastAsia" w:ascii="Times New Roman"/>
          <w:sz w:val="24"/>
        </w:rPr>
        <w:t>。</w:t>
      </w:r>
    </w:p>
    <w:tbl>
      <w:tblPr>
        <w:tblStyle w:val="1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69"/>
        <w:gridCol w:w="2041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主要功能房间类型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允许噪声级</w:t>
            </w:r>
          </w:p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（A声级，dB）</w:t>
            </w:r>
          </w:p>
        </w:tc>
        <w:tc>
          <w:tcPr>
            <w:tcW w:w="2041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主要功能房间类型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允许噪声级</w:t>
            </w:r>
          </w:p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如：卧室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昼：≤45；夜：≤37</w:t>
            </w:r>
          </w:p>
        </w:tc>
        <w:tc>
          <w:tcPr>
            <w:tcW w:w="204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起居室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≤45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办公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≤45</w:t>
            </w:r>
          </w:p>
        </w:tc>
        <w:tc>
          <w:tcPr>
            <w:tcW w:w="204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客房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昼：≤45；夜：≤40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商业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≤55</w:t>
            </w:r>
          </w:p>
        </w:tc>
        <w:tc>
          <w:tcPr>
            <w:tcW w:w="204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普通教室</w:t>
            </w:r>
          </w:p>
        </w:tc>
        <w:tc>
          <w:tcPr>
            <w:tcW w:w="2069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≤45</w:t>
            </w: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（2）外墙、隔墙、楼板和门窗的隔声性能满足现行国家标准《民用建筑隔声设计规范》GB 50118中的低限要求；详见</w:t>
      </w:r>
      <w:r>
        <w:rPr>
          <w:rFonts w:hint="eastAsia" w:ascii="Times New Roman"/>
          <w:sz w:val="24"/>
          <w:u w:val="single"/>
        </w:rPr>
        <w:t>《围护结构隔声性能分析报告》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围护结构的空气声隔声性能列表：</w:t>
      </w:r>
    </w:p>
    <w:tbl>
      <w:tblPr>
        <w:tblStyle w:val="1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71"/>
        <w:gridCol w:w="226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围护结构构件类型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空气声隔声量</w:t>
            </w:r>
          </w:p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（dB）</w:t>
            </w:r>
          </w:p>
        </w:tc>
        <w:tc>
          <w:tcPr>
            <w:tcW w:w="2268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围护结构构件类型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空气声隔声量</w:t>
            </w:r>
          </w:p>
          <w:p>
            <w:pPr>
              <w:pStyle w:val="24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（dB）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外墙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楼板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内隔墙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外窗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外门</w:t>
            </w:r>
          </w:p>
        </w:tc>
        <w:tc>
          <w:tcPr>
            <w:tcW w:w="187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楼板的撞击声隔声性能列表：</w:t>
      </w:r>
    </w:p>
    <w:tbl>
      <w:tblPr>
        <w:tblStyle w:val="1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主要功能房间楼板部位</w:t>
            </w:r>
          </w:p>
        </w:tc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撞击声隔声量（dB）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</w:tr>
    </w:tbl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采取措施保障室内热环境。采用非集中供暖空调系统的建筑，应具有保障室内热环境的措施或预留条件。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□非集中供暖空调系统的建筑：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简要说明保障室内热环境的预留条件：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围护结构热工性能符合下列规定：</w:t>
      </w:r>
      <w:r>
        <w:rPr>
          <w:rFonts w:ascii="Times New Roman"/>
          <w:sz w:val="24"/>
        </w:rPr>
        <w:t xml:space="preserve">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（1）在室内设计温度、湿度条件下，建筑非透光围护结构内表面不得结露；详见</w:t>
      </w:r>
      <w:r>
        <w:rPr>
          <w:rFonts w:hint="eastAsia" w:ascii="Times New Roman"/>
          <w:sz w:val="24"/>
          <w:u w:val="single"/>
        </w:rPr>
        <w:t>《建筑围护结构结露验算计算书》</w:t>
      </w:r>
      <w:r>
        <w:rPr>
          <w:rFonts w:hint="eastAsia" w:ascii="Times New Roman"/>
          <w:sz w:val="24"/>
        </w:rPr>
        <w:t>。</w:t>
      </w:r>
    </w:p>
    <w:tbl>
      <w:tblPr>
        <w:tblStyle w:val="13"/>
        <w:tblW w:w="910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977"/>
        <w:gridCol w:w="21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围护结构类型</w:t>
            </w:r>
          </w:p>
        </w:tc>
        <w:tc>
          <w:tcPr>
            <w:tcW w:w="297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设计工况下的内表面温度（℃）</w:t>
            </w:r>
          </w:p>
        </w:tc>
        <w:tc>
          <w:tcPr>
            <w:tcW w:w="219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室内空气露点温度</w:t>
            </w:r>
          </w:p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（℃）</w:t>
            </w:r>
          </w:p>
        </w:tc>
        <w:tc>
          <w:tcPr>
            <w:tcW w:w="212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（2）供暖建筑的屋面、外墙内部不产生冷凝；详见</w:t>
      </w:r>
      <w:r>
        <w:rPr>
          <w:rFonts w:hint="eastAsia" w:ascii="Times New Roman"/>
          <w:sz w:val="24"/>
          <w:u w:val="single"/>
        </w:rPr>
        <w:t>《建筑围护结构内部冷凝验算计算书》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（3）屋顶和外墙隔热性能满足现行国家标准《民用建筑热工设计规范》GB 50176的要求；详见</w:t>
      </w:r>
      <w:r>
        <w:rPr>
          <w:rFonts w:hint="eastAsia" w:ascii="Times New Roman"/>
          <w:sz w:val="24"/>
          <w:u w:val="single"/>
        </w:rPr>
        <w:t>《屋顶和东西外墙内表面温度计算书》</w:t>
      </w:r>
      <w:r>
        <w:rPr>
          <w:rFonts w:hint="eastAsia" w:ascii="Times New Roman"/>
          <w:sz w:val="24"/>
        </w:rPr>
        <w:t>。</w:t>
      </w:r>
    </w:p>
    <w:p>
      <w:pPr>
        <w:pStyle w:val="24"/>
        <w:spacing w:line="360" w:lineRule="auto"/>
        <w:ind w:left="150" w:firstLine="0" w:firstLineChars="0"/>
        <w:jc w:val="center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屋顶的内表面温度计算列表</w:t>
      </w:r>
    </w:p>
    <w:tbl>
      <w:tblPr>
        <w:tblStyle w:val="1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08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内表面最高温度（℃）</w:t>
            </w: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标准要求（℃）</w:t>
            </w: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自然通风房间</w:t>
            </w: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空调房间</w:t>
            </w: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</w:tbl>
    <w:p>
      <w:pPr>
        <w:pStyle w:val="24"/>
        <w:spacing w:line="360" w:lineRule="auto"/>
        <w:ind w:left="150" w:firstLine="0" w:firstLineChars="0"/>
        <w:jc w:val="center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东向外墙的内表面温度计算列表</w:t>
      </w:r>
    </w:p>
    <w:tbl>
      <w:tblPr>
        <w:tblStyle w:val="1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08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内表面最高温度（℃）</w:t>
            </w: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标准要求（℃）</w:t>
            </w: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自然通风房间</w:t>
            </w: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空调房间</w:t>
            </w: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</w:tbl>
    <w:p>
      <w:pPr>
        <w:pStyle w:val="24"/>
        <w:spacing w:line="360" w:lineRule="auto"/>
        <w:ind w:left="150" w:firstLine="0" w:firstLineChars="0"/>
        <w:jc w:val="center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西向外墙的内表面温度计算列表</w:t>
      </w:r>
    </w:p>
    <w:tbl>
      <w:tblPr>
        <w:tblStyle w:val="1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08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内表面最高温度（℃）</w:t>
            </w: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标准要求（℃）</w:t>
            </w: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自然通风房间</w:t>
            </w: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86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空调房间</w:t>
            </w:r>
          </w:p>
        </w:tc>
        <w:tc>
          <w:tcPr>
            <w:tcW w:w="2408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</w:tbl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建筑、室外场地、公共绿地、城市道路相互之间设置连贯的无障碍步行系统。详见图纸：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场地人行出入口500m内设有公共交通站点或配备联系公共交通站点的专用接驳车；详见：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。（公交站点分析报告）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合理设置电动汽车和无障碍汽车停车位且符合规划指标要求。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停车方式节约集约用地：□机械式停车库、□地下停车库、□立体停车楼（库）、□其他方式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spacing w:line="360" w:lineRule="auto"/>
        <w:ind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采用错时停车方式向社会开放：□是、□否（原因：</w:t>
      </w:r>
      <w:r>
        <w:rPr>
          <w:rFonts w:hint="eastAsia" w:ascii="Times New Roman"/>
          <w:sz w:val="24"/>
          <w:u w:val="single"/>
        </w:rPr>
        <w:t xml:space="preserve">                         </w:t>
      </w:r>
      <w:r>
        <w:rPr>
          <w:rFonts w:hint="eastAsia" w:ascii="Times New Roman"/>
          <w:sz w:val="24"/>
        </w:rPr>
        <w:t>）。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地面停车设计合理，不挤占步行空间及活动场所：□是、□否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规划要求机动车停车位数量：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个，设计机动车停车位数量：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个，其中电动汽车停车位数量：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个，无障碍汽车停车位数量：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个。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，且符合规划要求。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kern w:val="0"/>
        </w:rPr>
      </w:pPr>
      <w:r>
        <w:rPr>
          <w:rFonts w:hint="eastAsia" w:ascii="Times New Roman"/>
          <w:sz w:val="24"/>
        </w:rPr>
        <w:t>自行车停车场所位置合理、方便出入。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规划要求自行车停车位数量：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个，设计自行车停车位数量：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个。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自行车位及自行车库/车棚设计详见图纸：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结合场地自然条件和建筑功能需求，对建筑的体形、平面布局、空间尺度、围护结构等进行节能设计，且符合国家有关节能设计的要求。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建筑朝向：</w:t>
      </w:r>
      <w:r>
        <w:rPr>
          <w:rFonts w:hint="eastAsia" w:ascii="Times New Roman"/>
          <w:sz w:val="24"/>
          <w:u w:val="single"/>
        </w:rPr>
        <w:t xml:space="preserve">         </w:t>
      </w:r>
      <w:r>
        <w:rPr>
          <w:rFonts w:hint="eastAsia" w:ascii="Times New Roman"/>
          <w:sz w:val="24"/>
        </w:rPr>
        <w:t>；建筑的楼间距最小为：</w:t>
      </w:r>
      <w:r>
        <w:rPr>
          <w:rFonts w:hint="eastAsia" w:ascii="Times New Roman"/>
          <w:sz w:val="24"/>
          <w:u w:val="single"/>
        </w:rPr>
        <w:t xml:space="preserve">    </w:t>
      </w:r>
      <w:r>
        <w:rPr>
          <w:rFonts w:hint="eastAsia" w:ascii="Times New Roman"/>
          <w:sz w:val="24"/>
        </w:rPr>
        <w:t>，这两栋楼为：</w:t>
      </w:r>
      <w:r>
        <w:rPr>
          <w:rFonts w:hint="eastAsia" w:ascii="Times New Roman"/>
          <w:sz w:val="24"/>
          <w:u w:val="single"/>
        </w:rPr>
        <w:t xml:space="preserve">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详见</w:t>
      </w:r>
      <w:r>
        <w:rPr>
          <w:rFonts w:hint="eastAsia" w:ascii="Times New Roman"/>
          <w:sz w:val="24"/>
          <w:u w:val="single"/>
        </w:rPr>
        <w:t>节能设计专篇、节能计算书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垂直电梯和自动扶梯采用节能控制措施。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选型详见图纸：</w:t>
      </w:r>
      <w:r>
        <w:rPr>
          <w:rFonts w:hint="eastAsia" w:ascii="Times New Roman"/>
          <w:sz w:val="24"/>
          <w:u w:val="single"/>
        </w:rPr>
        <w:t xml:space="preserve">                     </w:t>
      </w:r>
      <w:r>
        <w:rPr>
          <w:rFonts w:hint="eastAsia" w:ascii="Times New Roman"/>
          <w:sz w:val="24"/>
        </w:rPr>
        <w:t>，节能控制措施详见电气设计专篇。</w:t>
      </w:r>
    </w:p>
    <w:tbl>
      <w:tblPr>
        <w:tblStyle w:val="12"/>
        <w:tblW w:w="50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851"/>
        <w:gridCol w:w="1134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设备类型及型号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台数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载客量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速度m/s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注：无电梯和扶梯的建筑，本条不做要求。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建筑造型要素简约，无大量装饰性构件。详见</w:t>
      </w:r>
      <w:r>
        <w:rPr>
          <w:rFonts w:hint="eastAsia" w:ascii="Times New Roman"/>
          <w:sz w:val="24"/>
          <w:u w:val="single"/>
        </w:rPr>
        <w:t>《工程概算书》、《装饰性构件造价比例计算书》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□居住建筑：</w:t>
      </w:r>
    </w:p>
    <w:p>
      <w:pPr>
        <w:spacing w:line="360" w:lineRule="auto"/>
        <w:ind w:left="142"/>
        <w:rPr>
          <w:rFonts w:ascii="Times New Roman" w:hAnsi="Times New Roman"/>
          <w:sz w:val="24"/>
          <w:lang w:val="zh-CN"/>
        </w:rPr>
      </w:pPr>
      <w:r>
        <w:rPr>
          <w:rFonts w:ascii="Times New Roman" w:hAnsi="宋体"/>
          <w:sz w:val="24"/>
        </w:rPr>
        <w:t>纯装饰性构件的造价：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宋体"/>
          <w:sz w:val="24"/>
        </w:rPr>
        <w:t>（万元），</w:t>
      </w:r>
      <w:r>
        <w:rPr>
          <w:rFonts w:ascii="Times New Roman" w:hAnsi="宋体"/>
          <w:sz w:val="24"/>
          <w:lang w:val="zh-CN"/>
        </w:rPr>
        <w:t>工程总造价：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宋体"/>
          <w:sz w:val="24"/>
          <w:lang w:val="zh-CN"/>
        </w:rPr>
        <w:t>（万元）；</w:t>
      </w:r>
    </w:p>
    <w:p>
      <w:pPr>
        <w:spacing w:line="36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  <w:lang w:val="zh-CN"/>
        </w:rPr>
        <w:t>纯装饰性构件造价占工程总造价的比例：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/>
          <w:sz w:val="24"/>
          <w:lang w:val="zh-CN"/>
        </w:rPr>
        <w:t>%</w:t>
      </w:r>
      <w:r>
        <w:rPr>
          <w:rFonts w:ascii="Times New Roman" w:hAnsi="宋体"/>
          <w:sz w:val="24"/>
          <w:lang w:val="zh-CN"/>
        </w:rPr>
        <w:t>＜</w:t>
      </w:r>
      <w:r>
        <w:rPr>
          <w:rFonts w:ascii="Times New Roman" w:hAnsi="Times New Roman"/>
          <w:sz w:val="24"/>
          <w:lang w:val="zh-CN"/>
        </w:rPr>
        <w:t>2%</w:t>
      </w:r>
      <w:r>
        <w:rPr>
          <w:rFonts w:ascii="Times New Roman" w:hAnsi="宋体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□公共建筑：</w:t>
      </w:r>
    </w:p>
    <w:p>
      <w:pPr>
        <w:spacing w:line="360" w:lineRule="auto"/>
        <w:ind w:left="142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装饰性构件的造价：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（万元），</w:t>
      </w:r>
      <w:r>
        <w:rPr>
          <w:rFonts w:hint="eastAsia" w:ascii="宋体" w:hAnsi="宋体" w:cs="宋体"/>
          <w:sz w:val="24"/>
          <w:lang w:val="zh-CN"/>
        </w:rPr>
        <w:t>工程总造价：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lang w:val="zh-CN"/>
        </w:rPr>
        <w:t>（万元）；</w:t>
      </w:r>
    </w:p>
    <w:p>
      <w:pPr>
        <w:spacing w:line="360" w:lineRule="auto"/>
        <w:ind w:left="142"/>
        <w:rPr>
          <w:rFonts w:ascii="宋体" w:hAnsi="宋体" w:cs="宋体"/>
          <w:sz w:val="24"/>
          <w:u w:val="single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纯装饰性构件造价占工程总造价的比例：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ascii="Times New Roman" w:hAnsi="Times New Roman"/>
          <w:sz w:val="24"/>
          <w:lang w:val="zh-CN"/>
        </w:rPr>
        <w:t>%</w:t>
      </w:r>
      <w:r>
        <w:rPr>
          <w:rFonts w:ascii="Times New Roman" w:hAnsi="宋体"/>
          <w:sz w:val="24"/>
          <w:lang w:val="zh-CN"/>
        </w:rPr>
        <w:t>＜</w:t>
      </w:r>
      <w:r>
        <w:rPr>
          <w:rFonts w:hint="eastAsia" w:ascii="Times New Roman" w:hAnsi="Times New Roman"/>
          <w:sz w:val="24"/>
          <w:lang w:val="zh-CN"/>
        </w:rPr>
        <w:t>1</w:t>
      </w:r>
      <w:r>
        <w:rPr>
          <w:rFonts w:ascii="Times New Roman" w:hAnsi="Times New Roman"/>
          <w:sz w:val="24"/>
          <w:lang w:val="zh-CN"/>
        </w:rPr>
        <w:t>%</w:t>
      </w:r>
      <w:r>
        <w:rPr>
          <w:rFonts w:hint="eastAsia" w:ascii="宋体" w:hAnsi="宋体" w:cs="宋体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建筑规划布局满足日照标准，且不得降低周边建筑的日照标准。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□满足、□不降低已有建筑日照标准。详见</w:t>
      </w:r>
      <w:r>
        <w:rPr>
          <w:rFonts w:hint="eastAsia" w:ascii="Times New Roman"/>
          <w:sz w:val="24"/>
          <w:u w:val="single"/>
        </w:rPr>
        <w:t>建筑日照模拟分析图和《日照分析报告》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室外热环境满足国家现行标准《城市居住区热环境设计标准》JGJ 286的要求。（第8.1.2条款）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□住宅区</w:t>
      </w:r>
      <w:r>
        <w:rPr>
          <w:rFonts w:hint="eastAsia" w:ascii="Times New Roman"/>
          <w:sz w:val="24"/>
        </w:rPr>
        <w:t>，住宅区提供</w:t>
      </w:r>
      <w:r>
        <w:rPr>
          <w:rFonts w:hint="eastAsia" w:ascii="Times New Roman"/>
          <w:sz w:val="24"/>
          <w:u w:val="single"/>
        </w:rPr>
        <w:t>场地热环境计算报告</w:t>
      </w:r>
      <w:r>
        <w:rPr>
          <w:rFonts w:hint="eastAsia" w:ascii="Times New Roman"/>
          <w:sz w:val="24"/>
        </w:rPr>
        <w:t>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□非住宅区</w:t>
      </w:r>
      <w:r>
        <w:rPr>
          <w:rFonts w:hint="eastAsia" w:ascii="Times New Roman"/>
          <w:sz w:val="24"/>
        </w:rPr>
        <w:t>，符合城乡规划要求：□是、□否。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配建的绿地符合所在地城乡规划的要求，合理选择绿化方式，植物种植适应当地气候和土壤，且无毒、易维护，种植区域覆土深度（地下室种植顶板：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；种植屋顶：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）和排水能力满足植物生长需求，并采用复层绿化方式：□是、□否。详见图纸：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（景观设计图、总平面设计图、给排水设计图）。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场地的竖向设计有利于雨水的收集或排放，有效组织雨水的下渗、滞蓄或再利用。详见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建筑内外均设置便于识别和使用的标识系统。</w:t>
      </w:r>
    </w:p>
    <w:p>
      <w:pPr>
        <w:spacing w:line="360" w:lineRule="auto"/>
        <w:ind w:left="142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□是、□否，设置位置详见图纸/文件：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合理设置以下标识：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人车分流标识、□公共交通接驳引导标识、□易于老年人识别的标识、□满足儿童使用需求与身高匹配的标识、□无障碍标识、□楼座及配套设施定位标识、□健身慢行道导向标识、□公共卫生间导向标识、□其他促进建筑便捷实用的导向标识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场地内有以下建筑或设施：□地下车库、□餐饮厨房、□锅炉房、□直燃机房、□柴油发电机房、□垃圾运转站、□医疗废气、□工业废气、□其他易产生烟、气、尘、噪声的建筑或设施：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、□以上皆无。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如有，简要说明避免排放超标的控制措施：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生活垃圾分类收集，垃圾容器和收集点的设置合理并与周围景观协调：□是、□否，设置位置详见图纸/文件：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</w:p>
    <w:p>
      <w:pPr>
        <w:pStyle w:val="24"/>
        <w:numPr>
          <w:ilvl w:val="0"/>
          <w:numId w:val="1"/>
        </w:numPr>
        <w:spacing w:line="360" w:lineRule="auto"/>
        <w:ind w:left="-210" w:leftChars="-100" w:firstLineChars="0"/>
        <w:rPr>
          <w:rFonts w:ascii="Times New Roman"/>
          <w:szCs w:val="21"/>
        </w:rPr>
      </w:pPr>
      <w:r>
        <w:rPr>
          <w:rFonts w:hint="eastAsia"/>
          <w:b/>
          <w:sz w:val="28"/>
          <w:szCs w:val="28"/>
        </w:rPr>
        <w:t>绿色建筑</w:t>
      </w:r>
      <w:r>
        <w:rPr>
          <w:rFonts w:hint="eastAsia" w:ascii="Times New Roman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星级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sz w:val="24"/>
        </w:rPr>
        <w:t>根据项目特点合理选择</w:t>
      </w:r>
      <w:r>
        <w:rPr>
          <w:rFonts w:hint="eastAsia" w:ascii="Times New Roman"/>
          <w:sz w:val="24"/>
        </w:rPr>
        <w:t>绿色建筑的</w:t>
      </w:r>
      <w:r>
        <w:rPr>
          <w:rFonts w:ascii="Times New Roman"/>
          <w:sz w:val="24"/>
        </w:rPr>
        <w:t>技术路线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增加相关</w:t>
      </w:r>
      <w:r>
        <w:rPr>
          <w:rFonts w:hint="eastAsia" w:ascii="Times New Roman"/>
          <w:sz w:val="24"/>
        </w:rPr>
        <w:t>条款、</w:t>
      </w:r>
      <w:r>
        <w:rPr>
          <w:rFonts w:ascii="Times New Roman"/>
          <w:sz w:val="24"/>
        </w:rPr>
        <w:t>说明、图纸和报告。</w:t>
      </w:r>
    </w:p>
    <w:p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江西省绿色建筑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基本级</w:t>
      </w:r>
      <w:r>
        <w:rPr>
          <w:rFonts w:hint="eastAsia" w:ascii="Times New Roman" w:hAnsi="Times New Roman"/>
          <w:b/>
          <w:sz w:val="28"/>
          <w:szCs w:val="28"/>
        </w:rPr>
        <w:t>设计专篇（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2021年版）</w:t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结构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专业</w:t>
      </w:r>
    </w:p>
    <w:p>
      <w:pPr>
        <w:pStyle w:val="24"/>
        <w:numPr>
          <w:ilvl w:val="0"/>
          <w:numId w:val="5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设计依据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《建筑结构可靠度设计统一标准》</w:t>
      </w:r>
      <w:r>
        <w:rPr>
          <w:rFonts w:ascii="Times New Roman"/>
          <w:sz w:val="24"/>
        </w:rPr>
        <w:t>GB 50068-2018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《混凝土结构设计规范》</w:t>
      </w:r>
      <w:r>
        <w:rPr>
          <w:rFonts w:ascii="Times New Roman"/>
          <w:sz w:val="24"/>
        </w:rPr>
        <w:t>GB</w:t>
      </w:r>
      <w:r>
        <w:rPr>
          <w:rFonts w:hint="eastAsia" w:ascii="Times New Roman"/>
          <w:sz w:val="24"/>
        </w:rPr>
        <w:t xml:space="preserve"> </w:t>
      </w:r>
      <w:r>
        <w:rPr>
          <w:rFonts w:ascii="Times New Roman"/>
          <w:sz w:val="24"/>
        </w:rPr>
        <w:t>50010-2010</w:t>
      </w:r>
      <w:r>
        <w:rPr>
          <w:rFonts w:hint="eastAsia" w:ascii="Times New Roman"/>
          <w:sz w:val="24"/>
        </w:rPr>
        <w:t>（</w:t>
      </w:r>
      <w:r>
        <w:rPr>
          <w:rFonts w:ascii="Times New Roman"/>
          <w:sz w:val="24"/>
        </w:rPr>
        <w:t>2015版</w:t>
      </w:r>
      <w:r>
        <w:rPr>
          <w:rFonts w:hint="eastAsia" w:ascii="Times New Roman"/>
          <w:sz w:val="24"/>
        </w:rPr>
        <w:t>）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《钢结构设计标准》</w:t>
      </w:r>
      <w:r>
        <w:rPr>
          <w:rFonts w:ascii="Times New Roman"/>
          <w:sz w:val="24"/>
        </w:rPr>
        <w:t>GB</w:t>
      </w:r>
      <w:r>
        <w:rPr>
          <w:rFonts w:hint="eastAsia" w:ascii="Times New Roman"/>
          <w:sz w:val="24"/>
        </w:rPr>
        <w:t xml:space="preserve"> </w:t>
      </w:r>
      <w:r>
        <w:rPr>
          <w:rFonts w:ascii="Times New Roman"/>
          <w:sz w:val="24"/>
        </w:rPr>
        <w:t>50017-2017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《建筑抗震设计规范》</w:t>
      </w:r>
      <w:r>
        <w:rPr>
          <w:rFonts w:ascii="Times New Roman"/>
          <w:sz w:val="24"/>
        </w:rPr>
        <w:t>GB 50011-2010（2016年版）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《预拌混凝土》GB/T 14902-2012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《预拌砂浆》GB/T 25181-2019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《绿色建筑评价标准》GB/T 50378-2019</w:t>
      </w:r>
    </w:p>
    <w:p>
      <w:pPr>
        <w:pStyle w:val="24"/>
        <w:numPr>
          <w:ilvl w:val="0"/>
          <w:numId w:val="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国家、省、市现行的法律、规范及其他相关规定</w:t>
      </w:r>
    </w:p>
    <w:p>
      <w:pPr>
        <w:spacing w:line="360" w:lineRule="auto"/>
        <w:ind w:left="-210"/>
        <w:rPr>
          <w:b/>
          <w:sz w:val="28"/>
          <w:szCs w:val="28"/>
        </w:rPr>
      </w:pPr>
    </w:p>
    <w:p>
      <w:pPr>
        <w:pStyle w:val="24"/>
        <w:numPr>
          <w:ilvl w:val="0"/>
          <w:numId w:val="5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基本级设计内容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ascii="Times New Roman"/>
          <w:sz w:val="24"/>
        </w:rPr>
        <w:t>场地</w:t>
      </w:r>
      <w:r>
        <w:rPr>
          <w:rFonts w:hint="eastAsia" w:ascii="Times New Roman"/>
          <w:sz w:val="24"/>
        </w:rPr>
        <w:t>应</w:t>
      </w:r>
      <w:r>
        <w:rPr>
          <w:rFonts w:ascii="Times New Roman"/>
          <w:sz w:val="24"/>
        </w:rPr>
        <w:t>避开滑坡、泥石流</w:t>
      </w:r>
      <w:r>
        <w:rPr>
          <w:rFonts w:hint="eastAsia" w:ascii="Times New Roman"/>
          <w:sz w:val="24"/>
        </w:rPr>
        <w:t>、活动断层及其附近，及容易产生开裂、沉陷、滑移的陡坎、河坎</w:t>
      </w:r>
      <w:r>
        <w:rPr>
          <w:rFonts w:ascii="Times New Roman"/>
          <w:sz w:val="24"/>
        </w:rPr>
        <w:t>等地质危险地段，易发生洪涝地区</w:t>
      </w:r>
      <w:r>
        <w:rPr>
          <w:rFonts w:hint="eastAsia" w:ascii="Times New Roman"/>
          <w:sz w:val="24"/>
        </w:rPr>
        <w:t>应</w:t>
      </w:r>
      <w:r>
        <w:rPr>
          <w:rFonts w:ascii="Times New Roman"/>
          <w:sz w:val="24"/>
        </w:rPr>
        <w:t>有可靠的防洪涝基础设施。</w:t>
      </w:r>
      <w:r>
        <w:rPr>
          <w:rFonts w:hint="eastAsia" w:ascii="Times New Roman"/>
          <w:sz w:val="24"/>
        </w:rPr>
        <w:t>详见</w:t>
      </w:r>
      <w:r>
        <w:rPr>
          <w:rFonts w:hint="eastAsia" w:ascii="Times New Roman"/>
          <w:sz w:val="24"/>
          <w:u w:val="single"/>
        </w:rPr>
        <w:t>《岩土工程勘察报告》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对场地中的不利地段或潜在的危险源采取必要的避让、防护或控制、治理等措施：□是、□否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抗震防灾设计符合现行国家标准《城镇抗震防灾规划标准》GB50413及《建筑抗震设计规范》GB50011的要求：□是、□否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建筑结构满足承载力、稳定性、耐久性和建筑使用功能要求。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结构设计符合以下国家现行标准的规定：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□《建筑结构可靠性设计统一标准》GB 50068、□《建筑结构荷载规范》GB 50009、□《混凝土结构设计规范》GB 50010、□《混凝土结构耐久性设计标准》GB/T 50476、□《建筑地基基础设计规范》GB 50007、□《钢结构设计标准》GB 50017、□《建筑抗震设计规范》GB 50011、□《砌体结构设计规范》GB 50003、□《木结构设计标准》GB 50005、□《建筑抗震鉴定标准》GB 50023、□《高层建筑混凝土结构技术规程》JGJ 3、</w:t>
      </w:r>
      <w:r>
        <w:rPr>
          <w:rFonts w:hint="eastAsia" w:ascii="宋体" w:hAnsi="宋体"/>
          <w:bCs/>
          <w:sz w:val="24"/>
          <w:lang w:val="zh-CN"/>
        </w:rPr>
        <w:t>□</w:t>
      </w:r>
      <w:r>
        <w:rPr>
          <w:rFonts w:hint="eastAsia" w:ascii="宋体" w:hAnsi="宋体"/>
          <w:sz w:val="24"/>
          <w:lang w:val="zh-CN"/>
        </w:rPr>
        <w:t>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外部设施与建筑主体结构统一设计、施工，连接牢固并具备安装、检修与维护条件。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建筑外部是否有以下设施：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□外遮阳、□太阳能设施、□空调室外机位、□外墙花池、□广告、□店招、□检修通道、□马道、□吊篮固定端、□预埋件、</w:t>
      </w:r>
      <w:r>
        <w:rPr>
          <w:rFonts w:hint="eastAsia" w:ascii="宋体" w:hAnsi="宋体"/>
          <w:bCs/>
          <w:sz w:val="24"/>
          <w:lang w:val="zh-CN"/>
        </w:rPr>
        <w:t>□</w:t>
      </w:r>
      <w:r>
        <w:rPr>
          <w:rFonts w:hint="eastAsia" w:ascii="宋体" w:hAnsi="宋体"/>
          <w:sz w:val="24"/>
          <w:lang w:val="zh-CN"/>
        </w:rPr>
        <w:t>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如有，简要说明连接牢固保障安装、检修与维护的措施：</w:t>
      </w:r>
      <w:r>
        <w:rPr>
          <w:rFonts w:hint="eastAsia" w:ascii="Times New Roman"/>
          <w:sz w:val="24"/>
          <w:u w:val="single"/>
        </w:rPr>
        <w:t xml:space="preserve">         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外部设施的位置、尺寸、构造详见图纸：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建筑内部的非结构构件、设备及附属设施等连接牢固并能适应主体结构变形及抗震要求。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建筑内部的非结构构件、设备及附属设施与建筑主体的连接方式：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□机械固定、□焊接、□预埋、□一体化建造、□以上皆无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非结构构件和主体构件的连接情况，设备及附属设施的位置、尺寸、构造详见图纸：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不应采用建筑形体和结构布置严重不规则的建筑结构。详见</w:t>
      </w:r>
      <w:r>
        <w:rPr>
          <w:rFonts w:hint="eastAsia" w:ascii="Times New Roman"/>
          <w:sz w:val="24"/>
          <w:u w:val="single"/>
        </w:rPr>
        <w:t>《结构计算书》、《建筑形体规则性判定报告》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项目的结构类型：□混凝土结构、□钢结构、□混合结构、□砌体结构、□其他：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项目</w:t>
      </w:r>
      <w:r>
        <w:rPr>
          <w:rFonts w:ascii="Times New Roman"/>
          <w:sz w:val="24"/>
        </w:rPr>
        <w:t>建筑形体规则性：</w:t>
      </w:r>
      <w:r>
        <w:rPr>
          <w:rFonts w:hint="eastAsia" w:ascii="Times New Roman"/>
          <w:sz w:val="24"/>
        </w:rPr>
        <w:t>□规则、□不规则、□特别不规则、□严重不规则。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建筑形体规则判定指标：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b/>
                <w:szCs w:val="18"/>
              </w:rPr>
              <w:t>平面不规则类型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b/>
                <w:szCs w:val="18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szCs w:val="18"/>
              </w:rPr>
              <w:t>扭转不规则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szCs w:val="18"/>
              </w:rPr>
              <w:t>在规定的水平力作用下，楼层的最大弹性水平位移或</w:t>
            </w:r>
            <w:r>
              <w:rPr>
                <w:rFonts w:hint="eastAsia" w:ascii="Times New Roman" w:hAnsi="Times New Roman" w:eastAsiaTheme="minorEastAsia"/>
                <w:szCs w:val="18"/>
              </w:rPr>
              <w:t>（</w:t>
            </w:r>
            <w:r>
              <w:rPr>
                <w:rFonts w:ascii="Times New Roman" w:hAnsiTheme="minorEastAsia" w:eastAsiaTheme="minorEastAsia"/>
                <w:szCs w:val="18"/>
              </w:rPr>
              <w:t>层间位移</w:t>
            </w:r>
            <w:r>
              <w:rPr>
                <w:rFonts w:hint="eastAsia" w:ascii="Times New Roman" w:hAnsi="Times New Roman" w:eastAsiaTheme="minorEastAsia"/>
                <w:szCs w:val="18"/>
              </w:rPr>
              <w:t>）</w:t>
            </w:r>
            <w:r>
              <w:rPr>
                <w:rFonts w:ascii="Times New Roman" w:hAnsiTheme="minorEastAsia" w:eastAsiaTheme="minorEastAsia"/>
                <w:szCs w:val="18"/>
              </w:rPr>
              <w:t>，大于该楼层两端弹性水平位移</w:t>
            </w:r>
            <w:r>
              <w:rPr>
                <w:rFonts w:hint="eastAsia" w:ascii="Times New Roman" w:hAnsi="Times New Roman" w:eastAsiaTheme="minorEastAsia"/>
                <w:szCs w:val="18"/>
              </w:rPr>
              <w:t>（</w:t>
            </w:r>
            <w:r>
              <w:rPr>
                <w:rFonts w:ascii="Times New Roman" w:hAnsiTheme="minorEastAsia" w:eastAsiaTheme="minorEastAsia"/>
                <w:szCs w:val="18"/>
              </w:rPr>
              <w:t>或层间位移</w:t>
            </w:r>
            <w:r>
              <w:rPr>
                <w:rFonts w:hint="eastAsia" w:ascii="Times New Roman" w:hAnsi="Times New Roman" w:eastAsiaTheme="minorEastAsia"/>
                <w:szCs w:val="18"/>
              </w:rPr>
              <w:t>）</w:t>
            </w:r>
            <w:r>
              <w:rPr>
                <w:rFonts w:ascii="Times New Roman" w:hAnsiTheme="minorEastAsia" w:eastAsiaTheme="minorEastAsia"/>
                <w:szCs w:val="18"/>
              </w:rPr>
              <w:t>平均值的</w:t>
            </w:r>
            <w:r>
              <w:rPr>
                <w:rFonts w:ascii="Times New Roman" w:hAnsi="Times New Roman" w:eastAsiaTheme="minorEastAsia"/>
                <w:szCs w:val="18"/>
              </w:rPr>
              <w:t>1.2</w:t>
            </w:r>
            <w:r>
              <w:rPr>
                <w:rFonts w:ascii="Times New Roman" w:hAnsiTheme="minorEastAsia" w:eastAsiaTheme="minorEastAsia"/>
                <w:szCs w:val="18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szCs w:val="18"/>
              </w:rPr>
              <w:t>凹凸不规则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szCs w:val="18"/>
              </w:rPr>
              <w:t>平面凹进的尺寸，大于相应投影方向总尺寸的</w:t>
            </w:r>
            <w:r>
              <w:rPr>
                <w:rFonts w:ascii="Times New Roman" w:hAnsi="Times New Roman" w:eastAsiaTheme="minorEastAsia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szCs w:val="18"/>
              </w:rPr>
              <w:t>楼板局部不连续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b/>
                <w:bCs/>
                <w:szCs w:val="18"/>
              </w:rPr>
            </w:pPr>
            <w:r>
              <w:rPr>
                <w:rFonts w:ascii="Times New Roman" w:hAnsiTheme="minorEastAsia" w:eastAsiaTheme="minorEastAsia"/>
                <w:szCs w:val="18"/>
              </w:rPr>
              <w:t>楼板的尺寸和平面刚度急剧变化，例如，有效楼板宽度小于该层楼板典型宽度的</w:t>
            </w:r>
            <w:r>
              <w:rPr>
                <w:rFonts w:ascii="Times New Roman" w:hAnsi="Times New Roman" w:eastAsiaTheme="minorEastAsia"/>
                <w:szCs w:val="18"/>
              </w:rPr>
              <w:t>50%</w:t>
            </w:r>
            <w:r>
              <w:rPr>
                <w:rFonts w:ascii="Times New Roman" w:hAnsiTheme="minorEastAsia" w:eastAsiaTheme="minorEastAsia"/>
                <w:szCs w:val="18"/>
              </w:rPr>
              <w:t>，或开洞面积大于该层楼面面积的</w:t>
            </w:r>
            <w:r>
              <w:rPr>
                <w:rFonts w:ascii="Times New Roman" w:hAnsi="Times New Roman" w:eastAsiaTheme="minorEastAsia"/>
                <w:szCs w:val="18"/>
              </w:rPr>
              <w:t>30%</w:t>
            </w:r>
            <w:r>
              <w:rPr>
                <w:rFonts w:ascii="Times New Roman" w:hAnsiTheme="minorEastAsia" w:eastAsiaTheme="minorEastAsia"/>
                <w:szCs w:val="18"/>
              </w:rPr>
              <w:t>，或较大的楼层错层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竖向</w:t>
            </w:r>
            <w:r>
              <w:rPr>
                <w:b/>
                <w:szCs w:val="18"/>
              </w:rPr>
              <w:t>不规则类型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/>
                <w:szCs w:val="18"/>
              </w:rPr>
              <w:t>侧向刚度不规则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/>
                <w:szCs w:val="18"/>
              </w:rPr>
              <w:t>该层的侧向刚度小于相邻上一层的</w:t>
            </w:r>
            <w:r>
              <w:rPr>
                <w:rFonts w:ascii="Times New Roman" w:hAnsi="Times New Roman"/>
                <w:szCs w:val="18"/>
              </w:rPr>
              <w:t>70%</w:t>
            </w:r>
            <w:r>
              <w:rPr>
                <w:rFonts w:ascii="Times New Roman"/>
                <w:szCs w:val="18"/>
              </w:rPr>
              <w:t>，或小于其上相邻三个楼层侧向刚度平均值的</w:t>
            </w:r>
            <w:r>
              <w:rPr>
                <w:rFonts w:ascii="Times New Roman" w:hAnsi="Times New Roman"/>
                <w:szCs w:val="18"/>
              </w:rPr>
              <w:t>80%</w:t>
            </w:r>
            <w:r>
              <w:rPr>
                <w:rFonts w:ascii="Times New Roman"/>
                <w:szCs w:val="18"/>
              </w:rPr>
              <w:t>；除顶层或出屋面小建筑外，局部收进的水平向尺寸大于相邻下一层的</w:t>
            </w:r>
            <w:r>
              <w:rPr>
                <w:rFonts w:ascii="Times New Roman" w:hAnsi="Times New Roman"/>
                <w:szCs w:val="18"/>
              </w:rPr>
              <w:t>25</w:t>
            </w:r>
            <w:r>
              <w:rPr>
                <w:rFonts w:ascii="Times New Roman"/>
                <w:szCs w:val="1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/>
                <w:szCs w:val="18"/>
              </w:rPr>
              <w:t>竖向抗侧力构件不连续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/>
                <w:szCs w:val="18"/>
              </w:rPr>
              <w:t>竖向抗侧力构件</w:t>
            </w:r>
            <w:r>
              <w:rPr>
                <w:rFonts w:hint="eastAsia" w:ascii="Times New Roman" w:hAnsi="Times New Roman"/>
                <w:szCs w:val="18"/>
              </w:rPr>
              <w:t>（</w:t>
            </w:r>
            <w:r>
              <w:rPr>
                <w:rFonts w:ascii="Times New Roman"/>
                <w:szCs w:val="18"/>
              </w:rPr>
              <w:t>柱、抗震墙、抗震支撑</w:t>
            </w:r>
            <w:r>
              <w:rPr>
                <w:rFonts w:hint="eastAsia" w:ascii="Times New Roman" w:hAnsi="Times New Roman"/>
                <w:szCs w:val="18"/>
              </w:rPr>
              <w:t>）</w:t>
            </w:r>
            <w:r>
              <w:rPr>
                <w:rFonts w:ascii="Times New Roman"/>
                <w:szCs w:val="18"/>
              </w:rPr>
              <w:t>的内力由水平转换构件</w:t>
            </w:r>
            <w:r>
              <w:rPr>
                <w:rFonts w:hint="eastAsia" w:ascii="Times New Roman" w:hAnsi="Times New Roman"/>
                <w:szCs w:val="18"/>
              </w:rPr>
              <w:t>（</w:t>
            </w:r>
            <w:r>
              <w:rPr>
                <w:rFonts w:ascii="Times New Roman"/>
                <w:szCs w:val="18"/>
              </w:rPr>
              <w:t>梁、桁架等</w:t>
            </w:r>
            <w:r>
              <w:rPr>
                <w:rFonts w:hint="eastAsia" w:ascii="Times New Roman" w:hAnsi="Times New Roman"/>
                <w:szCs w:val="18"/>
              </w:rPr>
              <w:t>）</w:t>
            </w:r>
            <w:r>
              <w:rPr>
                <w:rFonts w:ascii="Times New Roman"/>
                <w:szCs w:val="18"/>
              </w:rPr>
              <w:t>向下传递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/>
                <w:szCs w:val="18"/>
              </w:rPr>
              <w:t>楼层承载力突变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/>
                <w:szCs w:val="18"/>
              </w:rPr>
              <w:t>抗侧力结构的层间受剪承载力小于相邻上一楼层的</w:t>
            </w:r>
            <w:r>
              <w:rPr>
                <w:rFonts w:ascii="Times New Roman" w:hAnsi="Times New Roman"/>
                <w:szCs w:val="18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Times New Roman"/>
                <w:szCs w:val="18"/>
              </w:rPr>
            </w:pPr>
            <w:r>
              <w:rPr>
                <w:rFonts w:hint="eastAsia"/>
                <w:bCs/>
                <w:kern w:val="0"/>
              </w:rPr>
              <w:t>其他</w:t>
            </w:r>
            <w:r>
              <w:rPr>
                <w:bCs/>
                <w:kern w:val="0"/>
              </w:rPr>
              <w:t>不</w:t>
            </w:r>
            <w:r>
              <w:rPr>
                <w:rFonts w:hint="eastAsia"/>
                <w:bCs/>
                <w:kern w:val="0"/>
              </w:rPr>
              <w:t>规则类型：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</w:t>
            </w:r>
          </w:p>
        </w:tc>
      </w:tr>
    </w:tbl>
    <w:p>
      <w:pPr>
        <w:spacing w:line="360" w:lineRule="auto"/>
        <w:ind w:left="142" w:hanging="2"/>
        <w:jc w:val="center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建筑形体规则性判定汇总表</w:t>
      </w:r>
    </w:p>
    <w:tbl>
      <w:tblPr>
        <w:tblStyle w:val="1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06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楼栋号</w:t>
            </w:r>
          </w:p>
        </w:tc>
        <w:tc>
          <w:tcPr>
            <w:tcW w:w="4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简要描述存在的不规则类型；个数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4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4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4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</w:p>
        </w:tc>
      </w:tr>
    </w:tbl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建筑造型要素简约，无大量装饰性构件。详见</w:t>
      </w:r>
      <w:r>
        <w:rPr>
          <w:rFonts w:hint="eastAsia" w:ascii="Times New Roman"/>
          <w:sz w:val="24"/>
          <w:u w:val="single"/>
        </w:rPr>
        <w:t>《工程概算书》、《装饰性构件造价比例计算书》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□居住建筑：</w:t>
      </w:r>
    </w:p>
    <w:p>
      <w:pPr>
        <w:spacing w:line="360" w:lineRule="auto"/>
        <w:ind w:left="142"/>
        <w:rPr>
          <w:rFonts w:ascii="Times New Roman" w:hAnsi="Times New Roman"/>
          <w:sz w:val="24"/>
          <w:lang w:val="zh-CN"/>
        </w:rPr>
      </w:pPr>
      <w:r>
        <w:rPr>
          <w:rFonts w:ascii="Times New Roman" w:hAnsi="宋体"/>
          <w:sz w:val="24"/>
        </w:rPr>
        <w:t>纯装饰性构件的造价：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宋体"/>
          <w:sz w:val="24"/>
        </w:rPr>
        <w:t>（万元），</w:t>
      </w:r>
      <w:r>
        <w:rPr>
          <w:rFonts w:ascii="Times New Roman" w:hAnsi="宋体"/>
          <w:sz w:val="24"/>
          <w:lang w:val="zh-CN"/>
        </w:rPr>
        <w:t>工程总造价：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宋体"/>
          <w:sz w:val="24"/>
          <w:lang w:val="zh-CN"/>
        </w:rPr>
        <w:t>（万元）；</w:t>
      </w:r>
    </w:p>
    <w:p>
      <w:pPr>
        <w:spacing w:line="36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  <w:lang w:val="zh-CN"/>
        </w:rPr>
        <w:t>纯装饰性构件造价占工程总造价的比例：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/>
          <w:sz w:val="24"/>
          <w:lang w:val="zh-CN"/>
        </w:rPr>
        <w:t>%</w:t>
      </w:r>
      <w:r>
        <w:rPr>
          <w:rFonts w:ascii="Times New Roman" w:hAnsi="宋体"/>
          <w:sz w:val="24"/>
          <w:lang w:val="zh-CN"/>
        </w:rPr>
        <w:t>＜</w:t>
      </w:r>
      <w:r>
        <w:rPr>
          <w:rFonts w:ascii="Times New Roman" w:hAnsi="Times New Roman"/>
          <w:sz w:val="24"/>
          <w:lang w:val="zh-CN"/>
        </w:rPr>
        <w:t>2%</w:t>
      </w:r>
      <w:r>
        <w:rPr>
          <w:rFonts w:ascii="Times New Roman" w:hAnsi="宋体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□公共建筑：</w:t>
      </w:r>
    </w:p>
    <w:p>
      <w:pPr>
        <w:spacing w:line="360" w:lineRule="auto"/>
        <w:ind w:left="142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装饰性构件的造价：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（万元），</w:t>
      </w:r>
      <w:r>
        <w:rPr>
          <w:rFonts w:hint="eastAsia" w:ascii="宋体" w:hAnsi="宋体" w:cs="宋体"/>
          <w:sz w:val="24"/>
          <w:lang w:val="zh-CN"/>
        </w:rPr>
        <w:t>工程总造价：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lang w:val="zh-CN"/>
        </w:rPr>
        <w:t>（万元）；</w:t>
      </w:r>
    </w:p>
    <w:p>
      <w:pPr>
        <w:spacing w:line="360" w:lineRule="auto"/>
        <w:ind w:left="142"/>
        <w:rPr>
          <w:rFonts w:ascii="宋体" w:hAnsi="宋体" w:cs="宋体"/>
          <w:sz w:val="24"/>
          <w:u w:val="single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纯装饰性构件造价占工程总造价的比例：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ascii="Times New Roman" w:hAnsi="Times New Roman"/>
          <w:sz w:val="24"/>
          <w:lang w:val="zh-CN"/>
        </w:rPr>
        <w:t>%</w:t>
      </w:r>
      <w:r>
        <w:rPr>
          <w:rFonts w:ascii="Times New Roman" w:hAnsi="宋体"/>
          <w:sz w:val="24"/>
          <w:lang w:val="zh-CN"/>
        </w:rPr>
        <w:t>＜</w:t>
      </w:r>
      <w:r>
        <w:rPr>
          <w:rFonts w:hint="eastAsia" w:ascii="Times New Roman" w:hAnsi="Times New Roman"/>
          <w:sz w:val="24"/>
          <w:lang w:val="zh-CN"/>
        </w:rPr>
        <w:t>1</w:t>
      </w:r>
      <w:r>
        <w:rPr>
          <w:rFonts w:ascii="Times New Roman" w:hAnsi="Times New Roman"/>
          <w:sz w:val="24"/>
          <w:lang w:val="zh-CN"/>
        </w:rPr>
        <w:t>%</w:t>
      </w:r>
      <w:r>
        <w:rPr>
          <w:rFonts w:hint="eastAsia" w:ascii="宋体" w:hAnsi="宋体" w:cs="宋体"/>
          <w:sz w:val="24"/>
        </w:rPr>
        <w:t>。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选用的建筑材料符合下列规定：</w:t>
      </w:r>
      <w:r>
        <w:rPr>
          <w:rFonts w:ascii="Times New Roman"/>
          <w:sz w:val="24"/>
        </w:rPr>
        <w:t xml:space="preserve">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（1）500km以内生产的建筑材料重量占建筑材料总重量的比例大于60%：□是、□否；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（2）现浇混凝土采用预拌混凝土，建筑砂浆采用预拌砂浆：□是、□否；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（3）不应采用实心粘土砖：□是、□否。</w:t>
      </w:r>
    </w:p>
    <w:p>
      <w:pPr>
        <w:pStyle w:val="24"/>
        <w:numPr>
          <w:ilvl w:val="0"/>
          <w:numId w:val="7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种植区域覆土深度（地下室种植顶板：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；种植屋顶：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）和排水能力满足植物生长需求，同时结构能满足其承重要求。详见图纸：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</w:p>
    <w:p>
      <w:pPr>
        <w:pStyle w:val="24"/>
        <w:numPr>
          <w:ilvl w:val="0"/>
          <w:numId w:val="5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绿色建筑</w:t>
      </w:r>
      <w:r>
        <w:rPr>
          <w:rFonts w:hint="eastAsia" w:ascii="Times New Roman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星级</w:t>
      </w:r>
    </w:p>
    <w:p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根据项目特点合理选择</w:t>
      </w:r>
      <w:r>
        <w:rPr>
          <w:rFonts w:hint="eastAsia" w:ascii="Times New Roman"/>
          <w:sz w:val="24"/>
        </w:rPr>
        <w:t>绿色建筑的</w:t>
      </w:r>
      <w:r>
        <w:rPr>
          <w:rFonts w:ascii="Times New Roman"/>
          <w:sz w:val="24"/>
        </w:rPr>
        <w:t>技术路线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增加相关</w:t>
      </w:r>
      <w:r>
        <w:rPr>
          <w:rFonts w:hint="eastAsia" w:ascii="Times New Roman"/>
          <w:sz w:val="24"/>
        </w:rPr>
        <w:t>条款、</w:t>
      </w:r>
      <w:r>
        <w:rPr>
          <w:rFonts w:ascii="Times New Roman"/>
          <w:sz w:val="24"/>
        </w:rPr>
        <w:t>说明、图纸和报告。</w:t>
      </w:r>
    </w:p>
    <w:p>
      <w:pPr>
        <w:pStyle w:val="24"/>
        <w:spacing w:line="360" w:lineRule="auto"/>
        <w:ind w:left="-210" w:firstLine="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江西省绿色建筑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基本级</w:t>
      </w:r>
      <w:r>
        <w:rPr>
          <w:rFonts w:hint="eastAsia" w:ascii="Times New Roman" w:hAnsi="Times New Roman"/>
          <w:b/>
          <w:sz w:val="28"/>
          <w:szCs w:val="28"/>
        </w:rPr>
        <w:t>设计专篇（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2021年版）</w:t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给排水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专业</w:t>
      </w:r>
    </w:p>
    <w:p>
      <w:pPr>
        <w:pStyle w:val="24"/>
        <w:numPr>
          <w:ilvl w:val="0"/>
          <w:numId w:val="8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设计依据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《建筑给水排水设计标准》GB 50015-2019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《民用建筑节水设计标准》GB 50555-2010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《节水型生活用水器具》</w:t>
      </w:r>
      <w:r>
        <w:rPr>
          <w:rFonts w:ascii="Times New Roman"/>
          <w:sz w:val="24"/>
        </w:rPr>
        <w:t>CJ/T</w:t>
      </w:r>
      <w:r>
        <w:rPr>
          <w:rFonts w:hint="eastAsia" w:ascii="Times New Roman"/>
          <w:sz w:val="24"/>
        </w:rPr>
        <w:t xml:space="preserve"> </w:t>
      </w:r>
      <w:r>
        <w:rPr>
          <w:rFonts w:ascii="Times New Roman"/>
          <w:sz w:val="24"/>
        </w:rPr>
        <w:t>164-2014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《节水型产品通用技术条件》GB/T 18870 -2011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《生活饮用水卫生标准》GB 5749-2006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《绿色建筑评价标准》GB/T 50378-2019</w:t>
      </w:r>
    </w:p>
    <w:p>
      <w:pPr>
        <w:pStyle w:val="24"/>
        <w:numPr>
          <w:ilvl w:val="0"/>
          <w:numId w:val="9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国家、省、市现行的法律、规范及其他相关规定</w:t>
      </w:r>
    </w:p>
    <w:p>
      <w:pPr>
        <w:pStyle w:val="24"/>
        <w:spacing w:line="360" w:lineRule="auto"/>
        <w:ind w:left="210" w:firstLine="0" w:firstLineChars="0"/>
        <w:rPr>
          <w:b/>
          <w:sz w:val="28"/>
          <w:szCs w:val="28"/>
        </w:rPr>
      </w:pPr>
    </w:p>
    <w:p>
      <w:pPr>
        <w:pStyle w:val="24"/>
        <w:numPr>
          <w:ilvl w:val="0"/>
          <w:numId w:val="8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基本级设计内容</w:t>
      </w:r>
    </w:p>
    <w:p>
      <w:pPr>
        <w:pStyle w:val="24"/>
        <w:numPr>
          <w:ilvl w:val="0"/>
          <w:numId w:val="10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给水排水系统的设置符合下列规定：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（1）生活饮用水水质满足现行国家标准《生活饮用水卫生标准》GB 5749的要求：□是、□否；如“是”，详见图纸：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（2）制定水池、水箱等储水设施定期清洗消毒计划并实施，且生活饮用水储水设施每半年清洗消毒不少于1次：□是、□否；如“是”，详见图纸：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（3）使用构造内自带水封的便器，且其水封深度不小于50mm：□是、□否；如“是”，详见图纸：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（4）非传统水源管道和设备设置明确、清晰的永久性标识：□是、□否；如“是”，详见图纸：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0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采取措施保障室内热环境。采用非集中供暖空调系统的建筑，应具有保障室内热环境的措施或预留条件。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□非集中供暖空调系统的建筑：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简要说明保障室内热环境的预留条件：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0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制定水资源利用方案，统筹利用各种水资源，并符合下列规定：详见</w:t>
      </w:r>
      <w:r>
        <w:rPr>
          <w:rFonts w:hint="eastAsia" w:ascii="Times New Roman"/>
          <w:sz w:val="24"/>
          <w:u w:val="single"/>
        </w:rPr>
        <w:t>《水资源利用方案》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（1）按使用用途、付费或管理单元，分别设置用水计量装置；详见图纸：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□使用用途：□厨房、□卫生间、□空调、□游泳池、□绿化、□景观、□浇洒道路、□洗车、□其他：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□付费或管理单元：□住宅各户、□商场各商铺、□其他：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（2）用水点处水压大于0.2MPa的配水支管设置减压设施，并满足给水配件最低工作压力的要求；详见</w:t>
      </w:r>
      <w:r>
        <w:rPr>
          <w:rFonts w:hint="eastAsia" w:ascii="Times New Roman"/>
          <w:sz w:val="24"/>
          <w:u w:val="single"/>
        </w:rPr>
        <w:t>《各层用水点压力计算》书</w:t>
      </w:r>
      <w:r>
        <w:rPr>
          <w:rFonts w:hint="eastAsia" w:ascii="Times New Roman"/>
          <w:sz w:val="24"/>
        </w:rPr>
        <w:t>，详见图纸：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spacing w:line="360" w:lineRule="auto"/>
        <w:ind w:left="150" w:firstLine="0" w:firstLineChars="0"/>
        <w:jc w:val="center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节水器具压力统计表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132"/>
        <w:gridCol w:w="2132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器具名称</w:t>
            </w: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器具最低工作压力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（</w:t>
            </w:r>
            <w:r>
              <w:rPr>
                <w:rFonts w:ascii="Times New Roman" w:hAnsi="Times New Roman"/>
                <w:b/>
                <w:szCs w:val="21"/>
              </w:rPr>
              <w:t>MPa</w:t>
            </w:r>
            <w:r>
              <w:rPr>
                <w:rFonts w:ascii="Times New Roman" w:hAnsi="宋体"/>
                <w:b/>
                <w:szCs w:val="21"/>
              </w:rPr>
              <w:t>）</w:t>
            </w: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用水点供水压力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（</w:t>
            </w:r>
            <w:r>
              <w:rPr>
                <w:rFonts w:ascii="Times New Roman" w:hAnsi="Times New Roman"/>
                <w:b/>
                <w:szCs w:val="21"/>
              </w:rPr>
              <w:t>MPa</w:t>
            </w:r>
            <w:r>
              <w:rPr>
                <w:rFonts w:ascii="Times New Roman" w:hAnsi="宋体"/>
                <w:b/>
                <w:szCs w:val="21"/>
              </w:rPr>
              <w:t>）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□</w:t>
            </w: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（3）用水器具和设备应满足节水产品的要求。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主要器具类型有：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龙头</w:t>
      </w:r>
      <w:r>
        <w:rPr>
          <w:rFonts w:ascii="Times New Roman"/>
          <w:sz w:val="24"/>
        </w:rPr>
        <w:t>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大便器</w:t>
      </w:r>
      <w:r>
        <w:rPr>
          <w:rFonts w:ascii="Times New Roman"/>
          <w:sz w:val="24"/>
        </w:rPr>
        <w:t>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小便器</w:t>
      </w:r>
      <w:r>
        <w:rPr>
          <w:rFonts w:ascii="Times New Roman"/>
          <w:sz w:val="24"/>
        </w:rPr>
        <w:t>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淋浴器</w:t>
      </w:r>
      <w:r>
        <w:rPr>
          <w:rFonts w:ascii="Times New Roman"/>
          <w:sz w:val="24"/>
        </w:rPr>
        <w:t>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65"/>
        <w:gridCol w:w="2499"/>
        <w:gridCol w:w="21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器具名称</w:t>
            </w: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器具类型</w:t>
            </w:r>
          </w:p>
        </w:tc>
        <w:tc>
          <w:tcPr>
            <w:tcW w:w="2499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流量（</w:t>
            </w:r>
            <w:r>
              <w:rPr>
                <w:rFonts w:ascii="Times New Roman" w:hAnsi="Times New Roman"/>
                <w:b/>
                <w:szCs w:val="21"/>
              </w:rPr>
              <w:t>L/s</w:t>
            </w:r>
            <w:r>
              <w:rPr>
                <w:rFonts w:ascii="Times New Roman" w:hAnsi="宋体"/>
                <w:b/>
                <w:szCs w:val="21"/>
              </w:rPr>
              <w:t>）或用水量（</w:t>
            </w:r>
            <w:r>
              <w:rPr>
                <w:rFonts w:ascii="Times New Roman" w:hAnsi="Times New Roman"/>
                <w:b/>
                <w:szCs w:val="21"/>
              </w:rPr>
              <w:t>L</w:t>
            </w:r>
            <w:r>
              <w:rPr>
                <w:rFonts w:ascii="Times New Roman" w:hAnsi="宋体"/>
                <w:b/>
                <w:szCs w:val="21"/>
              </w:rPr>
              <w:t>）</w:t>
            </w: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水嘴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流量≤0.125L/s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大便器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冲洗水量≤5.0L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小便器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冲洗水量≤3.0L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淋浴器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流量≤0.12L/s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主要设备类型有：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灌溉设备、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冷却塔、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输水管及管件、</w:t>
      </w:r>
      <w:r>
        <w:rPr>
          <w:rFonts w:hint="eastAsia" w:ascii="Times New Roman"/>
          <w:szCs w:val="21"/>
        </w:rPr>
        <w:t>□</w:t>
      </w:r>
      <w:r>
        <w:rPr>
          <w:rFonts w:hint="eastAsia" w:ascii="Times New Roman"/>
          <w:sz w:val="24"/>
        </w:rPr>
        <w:t>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65"/>
        <w:gridCol w:w="2499"/>
        <w:gridCol w:w="21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设备</w:t>
            </w:r>
            <w:r>
              <w:rPr>
                <w:rFonts w:ascii="Times New Roman" w:hAnsi="宋体"/>
                <w:b/>
                <w:szCs w:val="21"/>
              </w:rPr>
              <w:t>名称</w:t>
            </w: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设备</w:t>
            </w:r>
            <w:r>
              <w:rPr>
                <w:rFonts w:ascii="Times New Roman" w:hAnsi="宋体"/>
                <w:b/>
                <w:szCs w:val="21"/>
              </w:rPr>
              <w:t>类型</w:t>
            </w:r>
          </w:p>
        </w:tc>
        <w:tc>
          <w:tcPr>
            <w:tcW w:w="2499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设备参数</w:t>
            </w: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24"/>
        <w:numPr>
          <w:ilvl w:val="0"/>
          <w:numId w:val="10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种植区域覆土深度（地下室种植顶板：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；种植屋顶：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）和排水能力满足植物生长需求。详见图纸：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0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场地的竖向设计有利于雨水的收集或排放，有效组织雨水的下渗、滞蓄或再利用；对大于10hm</w:t>
      </w:r>
      <w:r>
        <w:rPr>
          <w:rFonts w:hint="eastAsia" w:ascii="Times New Roman"/>
          <w:sz w:val="24"/>
          <w:vertAlign w:val="superscript"/>
        </w:rPr>
        <w:t>2</w:t>
      </w:r>
      <w:r>
        <w:rPr>
          <w:rFonts w:hint="eastAsia" w:ascii="Times New Roman"/>
          <w:sz w:val="24"/>
        </w:rPr>
        <w:t>的场地进行雨水控制利用专项设计。详见</w:t>
      </w:r>
      <w:r>
        <w:rPr>
          <w:rFonts w:hint="eastAsia" w:ascii="Times New Roman"/>
          <w:sz w:val="24"/>
          <w:u w:val="single"/>
        </w:rPr>
        <w:t>《年径流总量控制率计算书》、《设计控制雨量计算书》、《场地雨水综合利用方案》或专项设计文件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场地用地面积是否大于</w:t>
      </w:r>
      <w:r>
        <w:rPr>
          <w:rFonts w:ascii="Times New Roman"/>
          <w:sz w:val="24"/>
        </w:rPr>
        <w:t>10hm</w:t>
      </w:r>
      <w:r>
        <w:rPr>
          <w:rFonts w:ascii="Times New Roman"/>
          <w:sz w:val="24"/>
          <w:vertAlign w:val="superscript"/>
        </w:rPr>
        <w:t>2</w:t>
      </w:r>
      <w:r>
        <w:rPr>
          <w:rFonts w:hint="eastAsia" w:ascii="Times New Roman"/>
          <w:sz w:val="24"/>
        </w:rPr>
        <w:t>：□是、□否。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如“是”，简要描述场地雨水专项规划设计，包含对场地内径流减排、污染控制、雨水收集回用等的全面统筹规划设计：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如“否”，简要描述场地雨水综合利用方案：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0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场地内有以下建筑或设施：□餐饮类建筑、□其他：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、□以上皆无。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如有，简要说明避免排放超标的控制措施：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</w:p>
    <w:p>
      <w:pPr>
        <w:pStyle w:val="24"/>
        <w:numPr>
          <w:ilvl w:val="0"/>
          <w:numId w:val="8"/>
        </w:numPr>
        <w:spacing w:line="360" w:lineRule="auto"/>
        <w:ind w:left="-210" w:leftChars="-100" w:firstLineChars="0"/>
        <w:rPr>
          <w:rFonts w:ascii="Times New Roman"/>
          <w:szCs w:val="21"/>
        </w:rPr>
      </w:pPr>
      <w:r>
        <w:rPr>
          <w:rFonts w:hint="eastAsia"/>
          <w:b/>
          <w:sz w:val="28"/>
          <w:szCs w:val="28"/>
        </w:rPr>
        <w:t>绿色建筑</w:t>
      </w:r>
      <w:r>
        <w:rPr>
          <w:rFonts w:hint="eastAsia" w:ascii="Times New Roman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星级</w:t>
      </w:r>
    </w:p>
    <w:p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根据项目特点合理选择</w:t>
      </w:r>
      <w:r>
        <w:rPr>
          <w:rFonts w:hint="eastAsia" w:ascii="Times New Roman"/>
          <w:sz w:val="24"/>
        </w:rPr>
        <w:t>绿色建筑的</w:t>
      </w:r>
      <w:r>
        <w:rPr>
          <w:rFonts w:ascii="Times New Roman"/>
          <w:sz w:val="24"/>
        </w:rPr>
        <w:t>技术路线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增加相关</w:t>
      </w:r>
      <w:r>
        <w:rPr>
          <w:rFonts w:hint="eastAsia" w:ascii="Times New Roman"/>
          <w:sz w:val="24"/>
        </w:rPr>
        <w:t>条款、</w:t>
      </w:r>
      <w:r>
        <w:rPr>
          <w:rFonts w:ascii="Times New Roman"/>
          <w:sz w:val="24"/>
        </w:rPr>
        <w:t>说明、图纸和报告。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江西省绿色建筑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基本级</w:t>
      </w:r>
      <w:r>
        <w:rPr>
          <w:rFonts w:hint="eastAsia" w:ascii="Times New Roman" w:hAnsi="Times New Roman"/>
          <w:b/>
          <w:sz w:val="28"/>
          <w:szCs w:val="28"/>
        </w:rPr>
        <w:t>设计专篇（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2021年版）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电气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专业</w:t>
      </w:r>
    </w:p>
    <w:p>
      <w:pPr>
        <w:pStyle w:val="24"/>
        <w:numPr>
          <w:ilvl w:val="0"/>
          <w:numId w:val="11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设计依据</w:t>
      </w:r>
    </w:p>
    <w:p>
      <w:pPr>
        <w:pStyle w:val="24"/>
        <w:numPr>
          <w:ilvl w:val="0"/>
          <w:numId w:val="1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《建筑照明设计标准》GB 50034-2013</w:t>
      </w:r>
    </w:p>
    <w:p>
      <w:pPr>
        <w:pStyle w:val="24"/>
        <w:numPr>
          <w:ilvl w:val="0"/>
          <w:numId w:val="1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《电力变压器能效限定值及能效等级》GB 20052-2020</w:t>
      </w:r>
    </w:p>
    <w:p>
      <w:pPr>
        <w:pStyle w:val="24"/>
        <w:numPr>
          <w:ilvl w:val="0"/>
          <w:numId w:val="1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《能源管理体系要求》GB/T 23331-2012</w:t>
      </w:r>
    </w:p>
    <w:p>
      <w:pPr>
        <w:pStyle w:val="24"/>
        <w:numPr>
          <w:ilvl w:val="0"/>
          <w:numId w:val="1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《绿色建筑评价标准》GB/T 50378-2019</w:t>
      </w:r>
    </w:p>
    <w:p>
      <w:pPr>
        <w:pStyle w:val="24"/>
        <w:numPr>
          <w:ilvl w:val="0"/>
          <w:numId w:val="12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国家、省、市现行的法律、规范及其他相关规定</w:t>
      </w:r>
    </w:p>
    <w:p>
      <w:pPr>
        <w:pStyle w:val="24"/>
        <w:spacing w:line="360" w:lineRule="auto"/>
        <w:ind w:left="210" w:firstLine="0" w:firstLineChars="0"/>
        <w:rPr>
          <w:b/>
          <w:sz w:val="28"/>
          <w:szCs w:val="28"/>
        </w:rPr>
      </w:pPr>
    </w:p>
    <w:p>
      <w:pPr>
        <w:pStyle w:val="24"/>
        <w:numPr>
          <w:ilvl w:val="0"/>
          <w:numId w:val="11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基本级设计内容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/>
          <w:sz w:val="24"/>
        </w:rPr>
        <w:t>走廊、疏散通道等通行空间满足紧急疏散、应急救护等要求，且应保持畅通。公共建筑及居住建筑的大堂设置应急救护电源插座</w:t>
      </w:r>
      <w:r>
        <w:rPr>
          <w:rFonts w:hint="eastAsia" w:ascii="Times New Roman"/>
          <w:sz w:val="24"/>
        </w:rPr>
        <w:t>：□是、□否；详见图纸：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设置火灾疏散指示标志，如紧急出口标志、疏散方向标志灯、楼层显示灯等。详见图纸：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建筑照明符合下列规定：</w:t>
      </w:r>
      <w:r>
        <w:rPr>
          <w:rFonts w:ascii="Times New Roman"/>
          <w:sz w:val="24"/>
        </w:rPr>
        <w:t xml:space="preserve">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（1）照明数量和质量符合现行国家标准《建筑照明设计标准》GB 50034的规定；详见</w:t>
      </w:r>
      <w:r>
        <w:rPr>
          <w:rFonts w:hint="eastAsia" w:ascii="Times New Roman"/>
          <w:sz w:val="24"/>
          <w:u w:val="single"/>
        </w:rPr>
        <w:t>《照度计算书》</w:t>
      </w:r>
      <w:r>
        <w:rPr>
          <w:rFonts w:hint="eastAsia" w:ascii="Times New Roman"/>
          <w:sz w:val="24"/>
        </w:rPr>
        <w:t>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31"/>
        <w:gridCol w:w="871"/>
        <w:gridCol w:w="937"/>
        <w:gridCol w:w="876"/>
        <w:gridCol w:w="931"/>
        <w:gridCol w:w="871"/>
        <w:gridCol w:w="931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房间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类型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照度（lx）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统一眩光值</w:t>
            </w:r>
            <w:r>
              <w:rPr>
                <w:b/>
                <w:bCs/>
                <w:i/>
                <w:kern w:val="2"/>
                <w:sz w:val="21"/>
                <w:szCs w:val="21"/>
              </w:rPr>
              <w:t>UGR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照度均匀度</w:t>
            </w:r>
            <w:r>
              <w:rPr>
                <w:b/>
                <w:bCs/>
                <w:i/>
                <w:kern w:val="2"/>
                <w:sz w:val="21"/>
                <w:szCs w:val="21"/>
              </w:rPr>
              <w:t>U</w:t>
            </w:r>
            <w:r>
              <w:rPr>
                <w:b/>
                <w:bCs/>
                <w:i/>
                <w:kern w:val="2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一般显色指数</w:t>
            </w:r>
            <w:r>
              <w:rPr>
                <w:b/>
                <w:bCs/>
                <w:i/>
                <w:kern w:val="2"/>
                <w:sz w:val="21"/>
                <w:szCs w:val="21"/>
              </w:rPr>
              <w:t>R</w:t>
            </w:r>
            <w:r>
              <w:rPr>
                <w:b/>
                <w:bCs/>
                <w:i/>
                <w:kern w:val="2"/>
                <w:sz w:val="21"/>
                <w:szCs w:val="21"/>
                <w:vertAlign w:val="sub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设计值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标准值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设计值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标准值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设计值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标准值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设计值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（2）人员长期停留的场所采用符合现行国家标准《灯和灯系统的光生物安全性》GB/T 20145规定的无危险类照明产品；详见图纸：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（3）选用LED照明产品的光输出波形的波动深度满足现行国家标准《LED室内照明应用技术要求》GB/T 31831的规定；详见图纸：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采取措施保障室内热环境。采用非集中供暖空调系统的建筑，应具有保障室内热环境的措施或预留条件。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□非集中供暖空调系统的建筑：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简要说明保障室内热环境的预留条件：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地下车库设置与排风设备联动的一氧化碳浓度监测装置。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地下车库设置与排风设备联动的一氧化碳检测装置，超过一定的量值时即报警并启动排风系统。所设定的量值按照现行国家标准《工作场所有害因素职业接触限值 第1部分：化学有害因素》GBZ 2．1等相关标准的规定；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控制箱系统图详见图纸：</w:t>
      </w:r>
      <w:r>
        <w:rPr>
          <w:rFonts w:hint="eastAsia" w:ascii="Times New Roman"/>
          <w:sz w:val="24"/>
          <w:u w:val="single"/>
        </w:rPr>
        <w:t xml:space="preserve">           </w:t>
      </w:r>
      <w:r>
        <w:rPr>
          <w:rFonts w:hint="eastAsia" w:ascii="Times New Roman"/>
          <w:sz w:val="24"/>
        </w:rPr>
        <w:t>；现场一氧化碳浓度探测器详见图纸：</w:t>
      </w:r>
      <w:r>
        <w:rPr>
          <w:rFonts w:hint="eastAsia" w:ascii="Times New Roman"/>
          <w:sz w:val="24"/>
          <w:u w:val="single"/>
        </w:rPr>
        <w:t xml:space="preserve">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停车场具有电动汽车充电设施或具备充电设施的安装条件。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□居住建筑</w:t>
      </w:r>
      <w:r>
        <w:rPr>
          <w:rFonts w:hint="eastAsia" w:ascii="Times New Roman"/>
          <w:sz w:val="24"/>
        </w:rPr>
        <w:t>：总停车位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辆，按100%比例预留建设安装条件，按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%比例建设充电设施；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□公共建筑</w:t>
      </w:r>
      <w:r>
        <w:rPr>
          <w:rFonts w:hint="eastAsia" w:ascii="Times New Roman"/>
          <w:sz w:val="24"/>
        </w:rPr>
        <w:t>：总停车位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辆，按</w:t>
      </w:r>
      <w:r>
        <w:rPr>
          <w:rFonts w:hint="eastAsia" w:ascii="Times New Roman"/>
          <w:sz w:val="24"/>
          <w:u w:val="single"/>
        </w:rPr>
        <w:t xml:space="preserve">     </w:t>
      </w:r>
      <w:r>
        <w:rPr>
          <w:rFonts w:hint="eastAsia" w:ascii="Times New Roman"/>
          <w:sz w:val="24"/>
        </w:rPr>
        <w:t>%≥10%比例建设充电设施或预留建设安装条件。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变配电系统、电缆及桥架、充电设施及计量要求详见图纸：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建筑设备管理系统具有自动监控管理功能。详见图纸：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□居住建筑</w:t>
      </w:r>
      <w:r>
        <w:rPr>
          <w:rFonts w:hint="eastAsia" w:ascii="Times New Roman"/>
          <w:sz w:val="24"/>
        </w:rPr>
        <w:t>：建筑面积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＞100000m</w:t>
      </w:r>
      <w:r>
        <w:rPr>
          <w:rFonts w:hint="eastAsia" w:ascii="Times New Roman"/>
          <w:sz w:val="24"/>
          <w:vertAlign w:val="superscript"/>
        </w:rPr>
        <w:t>2</w:t>
      </w:r>
      <w:r>
        <w:rPr>
          <w:rFonts w:hint="eastAsia" w:ascii="Times New Roman"/>
          <w:sz w:val="24"/>
        </w:rPr>
        <w:t>，应设置具有自动监控管理功能的建筑设备管理系统；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□居住建筑</w:t>
      </w:r>
      <w:r>
        <w:rPr>
          <w:rFonts w:hint="eastAsia" w:ascii="Times New Roman"/>
          <w:sz w:val="24"/>
        </w:rPr>
        <w:t>：建筑面积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≤</w:t>
      </w:r>
      <w:r>
        <w:rPr>
          <w:rFonts w:hint="eastAsia" w:ascii="Times New Roman"/>
          <w:sz w:val="24"/>
        </w:rPr>
        <w:t>100000m</w:t>
      </w:r>
      <w:r>
        <w:rPr>
          <w:rFonts w:hint="eastAsia" w:ascii="Times New Roman"/>
          <w:sz w:val="24"/>
          <w:vertAlign w:val="superscript"/>
        </w:rPr>
        <w:t>2</w:t>
      </w:r>
      <w:r>
        <w:rPr>
          <w:rFonts w:hint="eastAsia" w:ascii="Times New Roman"/>
          <w:sz w:val="24"/>
        </w:rPr>
        <w:t>，公共设施的监控可以不设建筑设备自动监控系统，但设置简易的节能控制措施，如对风机水泵的变频控制、不联网的就地控制器、简单的单回路反馈控制等；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□公共建筑</w:t>
      </w:r>
      <w:r>
        <w:rPr>
          <w:rFonts w:hint="eastAsia" w:ascii="Times New Roman"/>
          <w:sz w:val="24"/>
        </w:rPr>
        <w:t>：建筑面积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＞20000m</w:t>
      </w:r>
      <w:r>
        <w:rPr>
          <w:rFonts w:hint="eastAsia" w:ascii="Times New Roman"/>
          <w:sz w:val="24"/>
          <w:vertAlign w:val="superscript"/>
        </w:rPr>
        <w:t>2</w:t>
      </w:r>
      <w:r>
        <w:rPr>
          <w:rFonts w:hint="eastAsia" w:ascii="Times New Roman"/>
          <w:sz w:val="24"/>
        </w:rPr>
        <w:t>，应设置具有自动监控管理功能的建筑设备管理系统；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□公共建筑</w:t>
      </w:r>
      <w:r>
        <w:rPr>
          <w:rFonts w:hint="eastAsia" w:ascii="Times New Roman"/>
          <w:sz w:val="24"/>
        </w:rPr>
        <w:t>：建筑面积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≤</w:t>
      </w:r>
      <w:r>
        <w:rPr>
          <w:rFonts w:hint="eastAsia" w:ascii="Times New Roman"/>
          <w:sz w:val="24"/>
        </w:rPr>
        <w:t>20000m</w:t>
      </w:r>
      <w:r>
        <w:rPr>
          <w:rFonts w:hint="eastAsia" w:ascii="Times New Roman"/>
          <w:sz w:val="24"/>
          <w:vertAlign w:val="superscript"/>
        </w:rPr>
        <w:t>2</w:t>
      </w:r>
      <w:r>
        <w:rPr>
          <w:rFonts w:hint="eastAsia" w:ascii="Times New Roman"/>
          <w:sz w:val="24"/>
        </w:rPr>
        <w:t>，公共设施的监控可以不设建筑设备自动监控系统，但设置简易的节能控制措施，如对风机水泵的变频控制、不联网的就地控制器、简单的单回路反馈控制等；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</w:t>
      </w:r>
      <w:r>
        <w:rPr>
          <w:rFonts w:hint="eastAsia" w:ascii="Times New Roman"/>
          <w:sz w:val="24"/>
        </w:rPr>
        <w:t>未设置建筑设备的建筑不做建筑设备管理系统。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建筑设置信息网络系统。详见图纸：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主要功能房间的照明功率密度值不高于现行国家标准《建筑照明设计标准》GB 50034规定的现行值。详见</w:t>
      </w:r>
      <w:r>
        <w:rPr>
          <w:rFonts w:hint="eastAsia" w:ascii="Times New Roman"/>
          <w:sz w:val="24"/>
          <w:u w:val="single"/>
        </w:rPr>
        <w:t>《照度计算书》</w:t>
      </w:r>
      <w:r>
        <w:rPr>
          <w:rFonts w:hint="eastAsia" w:ascii="Times New Roman"/>
          <w:sz w:val="24"/>
        </w:rPr>
        <w:t>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358"/>
        <w:gridCol w:w="1360"/>
        <w:gridCol w:w="135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房间类型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照度值（</w:t>
            </w:r>
            <w:r>
              <w:rPr>
                <w:rFonts w:ascii="Times New Roman" w:hAnsi="Times New Roman"/>
                <w:b/>
              </w:rPr>
              <w:t>Lx</w:t>
            </w:r>
            <w:r>
              <w:rPr>
                <w:rFonts w:ascii="Times New Roman" w:hAnsi="宋体"/>
                <w:b/>
              </w:rPr>
              <w:t>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照明功率密度（</w:t>
            </w:r>
            <w:r>
              <w:rPr>
                <w:rFonts w:ascii="Times New Roman" w:hAnsi="Times New Roman"/>
                <w:b/>
              </w:rPr>
              <w:t>W/m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设计值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标准要求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设计值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现行值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公共区域的照明系统采用节能控制措施。详见图纸：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采光区域的照明控制独立于其他区域的照明控制。详见图纸：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走廊照明系统采取的控制措施：□分区、□定时、□感应、□其他：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楼梯间照明系统采取的控制措施：□分区、□定时、□感应、□其他：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门厅照明系统采取的控制措施：□分区、□定时、□感应、□其他：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大堂照明系统采取的控制措施：□分区、□定时、□感应、□其他：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大空间照明系统采取的控制措施：□分区、□定时、□感应、□其他：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地下停车场的照明系统采取的控制措施：□分区、□定时、□感应、□其他：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室外夜景照明采取的控制措施：□定时、□感应、□其他：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冷热源、输配系统和照明等各部分能耗进行独立分项计量。详见图纸：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□公共建筑</w:t>
      </w:r>
      <w:r>
        <w:rPr>
          <w:rFonts w:hint="eastAsia" w:ascii="Times New Roman"/>
          <w:sz w:val="24"/>
        </w:rPr>
        <w:t>：对以下回路设置分项计量表：</w:t>
      </w:r>
    </w:p>
    <w:p>
      <w:pPr>
        <w:spacing w:line="360" w:lineRule="auto"/>
        <w:ind w:left="142"/>
        <w:rPr>
          <w:rFonts w:ascii="Times New Roman"/>
          <w:szCs w:val="21"/>
        </w:rPr>
      </w:pPr>
      <w:r>
        <w:rPr>
          <w:rFonts w:hint="eastAsia" w:ascii="Times New Roman"/>
          <w:sz w:val="24"/>
        </w:rPr>
        <w:t>□变压器低压侧出线回路、□单独计量的外供电回路、□特殊区供电回路、□制冷机组主供电回路、□单独供电的冷热源系统附泵回路、□集中供电的分体空调回路、□照明插座回路、□电梯回路、□其他：</w:t>
      </w:r>
      <w:r>
        <w:rPr>
          <w:rFonts w:hint="eastAsia" w:ascii="Times New Roman"/>
          <w:szCs w:val="21"/>
          <w:u w:val="single"/>
        </w:rPr>
        <w:t xml:space="preserve">            </w:t>
      </w:r>
      <w:r>
        <w:rPr>
          <w:rFonts w:hint="eastAsia" w:ascii="Times New Roman"/>
          <w:szCs w:val="21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□居住建筑</w:t>
      </w:r>
      <w:r>
        <w:rPr>
          <w:rFonts w:hint="eastAsia" w:ascii="Times New Roman"/>
          <w:sz w:val="24"/>
        </w:rPr>
        <w:t>：分户计量；住宅公共区域参考公共建筑执行。</w:t>
      </w:r>
    </w:p>
    <w:p>
      <w:pPr>
        <w:pStyle w:val="24"/>
        <w:numPr>
          <w:ilvl w:val="0"/>
          <w:numId w:val="13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垂直电梯和自动扶梯采用节能控制措施。详见图纸：</w:t>
      </w:r>
      <w:r>
        <w:rPr>
          <w:rFonts w:hint="eastAsia" w:ascii="Times New Roman"/>
          <w:szCs w:val="21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□垂直电梯</w:t>
      </w:r>
      <w:r>
        <w:rPr>
          <w:rFonts w:hint="eastAsia" w:ascii="Times New Roman"/>
          <w:sz w:val="24"/>
        </w:rPr>
        <w:t>：</w:t>
      </w:r>
    </w:p>
    <w:p>
      <w:pPr>
        <w:spacing w:line="360" w:lineRule="auto"/>
        <w:ind w:left="142"/>
        <w:rPr>
          <w:rFonts w:ascii="Times New Roman"/>
          <w:szCs w:val="21"/>
        </w:rPr>
      </w:pPr>
      <w:r>
        <w:rPr>
          <w:rFonts w:hint="eastAsia" w:ascii="Times New Roman"/>
          <w:sz w:val="24"/>
        </w:rPr>
        <w:t>节能措施：□群控、□变频调速、□能量反馈、□其他：</w:t>
      </w:r>
      <w:r>
        <w:rPr>
          <w:rFonts w:hint="eastAsia" w:ascii="Times New Roman"/>
          <w:szCs w:val="21"/>
          <w:u w:val="single"/>
        </w:rPr>
        <w:t xml:space="preserve">            </w:t>
      </w:r>
      <w:r>
        <w:rPr>
          <w:rFonts w:hint="eastAsia" w:ascii="Times New Roman"/>
          <w:szCs w:val="21"/>
        </w:rPr>
        <w:t>。</w:t>
      </w:r>
    </w:p>
    <w:tbl>
      <w:tblPr>
        <w:tblStyle w:val="12"/>
        <w:tblW w:w="91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851"/>
        <w:gridCol w:w="1134"/>
        <w:gridCol w:w="1276"/>
        <w:gridCol w:w="1417"/>
        <w:gridCol w:w="1134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设备类型及型号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台数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载客量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速度m/s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节能特性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控制方式</w:t>
            </w: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b/>
          <w:sz w:val="24"/>
        </w:rPr>
        <w:t>□自动扶梯</w:t>
      </w:r>
      <w:r>
        <w:rPr>
          <w:rFonts w:hint="eastAsia" w:ascii="Times New Roman"/>
          <w:sz w:val="24"/>
        </w:rPr>
        <w:t>：</w:t>
      </w:r>
    </w:p>
    <w:p>
      <w:pPr>
        <w:spacing w:line="360" w:lineRule="auto"/>
        <w:ind w:left="142"/>
        <w:rPr>
          <w:rFonts w:ascii="Times New Roman"/>
          <w:szCs w:val="21"/>
        </w:rPr>
      </w:pPr>
      <w:r>
        <w:rPr>
          <w:rFonts w:hint="eastAsia" w:ascii="Times New Roman"/>
          <w:sz w:val="24"/>
        </w:rPr>
        <w:t>节能措施：□变频感应启动、□其他：</w:t>
      </w:r>
      <w:r>
        <w:rPr>
          <w:rFonts w:hint="eastAsia" w:ascii="Times New Roman"/>
          <w:szCs w:val="21"/>
          <w:u w:val="single"/>
        </w:rPr>
        <w:t xml:space="preserve">            </w:t>
      </w:r>
      <w:r>
        <w:rPr>
          <w:rFonts w:hint="eastAsia" w:ascii="Times New Roman"/>
          <w:szCs w:val="21"/>
        </w:rPr>
        <w:t>。</w:t>
      </w:r>
    </w:p>
    <w:tbl>
      <w:tblPr>
        <w:tblStyle w:val="12"/>
        <w:tblW w:w="91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851"/>
        <w:gridCol w:w="1134"/>
        <w:gridCol w:w="1276"/>
        <w:gridCol w:w="1417"/>
        <w:gridCol w:w="1134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设备类型及型号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台数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载客量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速度m/s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节能特性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控制方式</w:t>
            </w: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是否符合要求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注：无电梯和扶梯的建筑，本条不做要求。</w:t>
      </w:r>
    </w:p>
    <w:p>
      <w:pPr>
        <w:spacing w:line="360" w:lineRule="auto"/>
        <w:rPr>
          <w:rFonts w:ascii="Times New Roman"/>
          <w:sz w:val="24"/>
        </w:rPr>
      </w:pPr>
    </w:p>
    <w:p>
      <w:pPr>
        <w:pStyle w:val="24"/>
        <w:numPr>
          <w:ilvl w:val="0"/>
          <w:numId w:val="11"/>
        </w:numPr>
        <w:spacing w:line="360" w:lineRule="auto"/>
        <w:ind w:left="-210" w:leftChars="-100" w:firstLineChars="0"/>
        <w:rPr>
          <w:rFonts w:ascii="Times New Roman"/>
          <w:szCs w:val="21"/>
        </w:rPr>
      </w:pPr>
      <w:r>
        <w:rPr>
          <w:rFonts w:hint="eastAsia"/>
          <w:b/>
          <w:sz w:val="28"/>
          <w:szCs w:val="28"/>
        </w:rPr>
        <w:t>绿色建筑</w:t>
      </w:r>
      <w:r>
        <w:rPr>
          <w:rFonts w:hint="eastAsia" w:ascii="Times New Roman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星级</w:t>
      </w:r>
    </w:p>
    <w:p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根据项目特点合理选择</w:t>
      </w:r>
      <w:r>
        <w:rPr>
          <w:rFonts w:hint="eastAsia" w:ascii="Times New Roman"/>
          <w:sz w:val="24"/>
        </w:rPr>
        <w:t>绿色建筑的</w:t>
      </w:r>
      <w:r>
        <w:rPr>
          <w:rFonts w:ascii="Times New Roman"/>
          <w:sz w:val="24"/>
        </w:rPr>
        <w:t>技术路线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增加相关</w:t>
      </w:r>
      <w:r>
        <w:rPr>
          <w:rFonts w:hint="eastAsia" w:ascii="Times New Roman"/>
          <w:sz w:val="24"/>
        </w:rPr>
        <w:t>条款、</w:t>
      </w:r>
      <w:r>
        <w:rPr>
          <w:rFonts w:ascii="Times New Roman"/>
          <w:sz w:val="24"/>
        </w:rPr>
        <w:t>说明、图纸和报告。</w:t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江西省绿色建筑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基本级</w:t>
      </w:r>
      <w:r>
        <w:rPr>
          <w:rFonts w:hint="eastAsia" w:ascii="Times New Roman" w:hAnsi="Times New Roman"/>
          <w:b/>
          <w:sz w:val="28"/>
          <w:szCs w:val="28"/>
        </w:rPr>
        <w:t>设计专篇（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2021年版）</w:t>
      </w:r>
    </w:p>
    <w:p>
      <w:pPr>
        <w:spacing w:line="360" w:lineRule="auto"/>
        <w:ind w:left="-210" w:leftChars="-100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暖通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专业</w:t>
      </w:r>
    </w:p>
    <w:p>
      <w:pPr>
        <w:pStyle w:val="24"/>
        <w:numPr>
          <w:ilvl w:val="0"/>
          <w:numId w:val="14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设计依据</w:t>
      </w:r>
    </w:p>
    <w:p>
      <w:pPr>
        <w:pStyle w:val="24"/>
        <w:numPr>
          <w:ilvl w:val="0"/>
          <w:numId w:val="15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《民用建筑热工设计规范》GB 50176-2016</w:t>
      </w:r>
    </w:p>
    <w:p>
      <w:pPr>
        <w:pStyle w:val="24"/>
        <w:numPr>
          <w:ilvl w:val="0"/>
          <w:numId w:val="15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《公共建筑节能设计标准》GB 50189-2015</w:t>
      </w:r>
    </w:p>
    <w:p>
      <w:pPr>
        <w:pStyle w:val="24"/>
        <w:numPr>
          <w:ilvl w:val="0"/>
          <w:numId w:val="15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《江西省居住建筑节能设计标准》DBJ/T 36-024-2014</w:t>
      </w:r>
    </w:p>
    <w:p>
      <w:pPr>
        <w:pStyle w:val="24"/>
        <w:numPr>
          <w:ilvl w:val="0"/>
          <w:numId w:val="15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《民用建筑供暖通风与空气调节设计规范》GB 50736-2012</w:t>
      </w:r>
    </w:p>
    <w:p>
      <w:pPr>
        <w:pStyle w:val="24"/>
        <w:numPr>
          <w:ilvl w:val="0"/>
          <w:numId w:val="15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《绿色建筑评价标准》GB/T 50378-2019</w:t>
      </w:r>
    </w:p>
    <w:p>
      <w:pPr>
        <w:pStyle w:val="24"/>
        <w:numPr>
          <w:ilvl w:val="0"/>
          <w:numId w:val="15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国家、省、市现行的法律、规范及其他相关规定</w:t>
      </w:r>
    </w:p>
    <w:p>
      <w:pPr>
        <w:pStyle w:val="24"/>
        <w:spacing w:line="360" w:lineRule="auto"/>
        <w:ind w:left="210" w:firstLine="0" w:firstLineChars="0"/>
        <w:rPr>
          <w:b/>
          <w:sz w:val="28"/>
          <w:szCs w:val="28"/>
        </w:rPr>
      </w:pPr>
    </w:p>
    <w:p>
      <w:pPr>
        <w:pStyle w:val="24"/>
        <w:numPr>
          <w:ilvl w:val="0"/>
          <w:numId w:val="14"/>
        </w:numPr>
        <w:spacing w:line="360" w:lineRule="auto"/>
        <w:ind w:left="-210" w:leftChars="-10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基本级设计内容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项目内设置以下功能房间：</w:t>
      </w:r>
      <w:r>
        <w:rPr>
          <w:rFonts w:ascii="Times New Roman"/>
          <w:sz w:val="24"/>
        </w:rPr>
        <w:t xml:space="preserve">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□厨房、□餐厅、□打印复印室、□卫生间、□地下车库、□其他产生污染物的房间：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简要说明防止以上区域的空气和污染物串通到其他空间，防止厨房、卫生间的排气倒灌的措施：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□设置机械通风系统，详见图纸：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采取措施保障室内热环境。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□集中供暖空调系统的建筑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房间内的温度、湿度、新风量等设计参数符合现行国家标准《民用建筑供暖通风与空气调节设计规范》GB 50736的有关规定：</w:t>
      </w:r>
    </w:p>
    <w:tbl>
      <w:tblPr>
        <w:tblStyle w:val="1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00"/>
        <w:gridCol w:w="851"/>
        <w:gridCol w:w="850"/>
        <w:gridCol w:w="851"/>
        <w:gridCol w:w="850"/>
        <w:gridCol w:w="851"/>
        <w:gridCol w:w="850"/>
        <w:gridCol w:w="851"/>
        <w:gridCol w:w="8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房间类型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温度（℃）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相对湿度（％）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新风量[m</w:t>
            </w:r>
            <w:r>
              <w:rPr>
                <w:b/>
                <w:bCs/>
                <w:kern w:val="2"/>
                <w:sz w:val="21"/>
                <w:szCs w:val="21"/>
                <w:vertAlign w:val="superscript"/>
              </w:rPr>
              <w:t>3</w:t>
            </w:r>
            <w:r>
              <w:rPr>
                <w:b/>
                <w:bCs/>
                <w:kern w:val="2"/>
                <w:sz w:val="21"/>
                <w:szCs w:val="21"/>
              </w:rPr>
              <w:t>/(h·人)]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夏季空调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冬季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空调（</w:t>
            </w:r>
            <w:r>
              <w:rPr>
                <w:b/>
                <w:bCs/>
                <w:kern w:val="2"/>
                <w:sz w:val="21"/>
                <w:szCs w:val="21"/>
              </w:rPr>
              <w:t>采暖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夏季空调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冬季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空调（</w:t>
            </w:r>
            <w:r>
              <w:rPr>
                <w:b/>
                <w:bCs/>
                <w:kern w:val="2"/>
                <w:sz w:val="21"/>
                <w:szCs w:val="21"/>
              </w:rPr>
              <w:t>采暖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设计值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标准值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设计值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标准值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设计值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标准值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设计值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标准值</w:t>
            </w: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设计值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40" w:lineRule="auto"/>
              <w:jc w:val="center"/>
              <w:outlineLvl w:val="9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规范要求最小值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□非集中供暖空调系统的建筑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简要说明保障室内热环境的措施或预留条件：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主要功能房间具有现场独立控制的热环境调节装置。详见图纸：</w:t>
      </w:r>
      <w:r>
        <w:rPr>
          <w:rFonts w:hint="eastAsia" w:ascii="Times New Roman"/>
          <w:sz w:val="24"/>
          <w:u w:val="single"/>
        </w:rPr>
        <w:t xml:space="preserve">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□集中供暖空调系统的建筑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838"/>
        <w:gridCol w:w="22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989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主要功能房间</w:t>
            </w:r>
          </w:p>
        </w:tc>
        <w:tc>
          <w:tcPr>
            <w:tcW w:w="2838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供暖、空调末端形式</w:t>
            </w:r>
          </w:p>
        </w:tc>
        <w:tc>
          <w:tcPr>
            <w:tcW w:w="2272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是否可独立调节</w:t>
            </w:r>
          </w:p>
        </w:tc>
        <w:tc>
          <w:tcPr>
            <w:tcW w:w="1423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9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9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9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9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9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7"/>
              <w:spacing w:line="288" w:lineRule="auto"/>
              <w:jc w:val="center"/>
              <w:outlineLvl w:val="9"/>
              <w:rPr>
                <w:bCs/>
                <w:iCs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□非集中供暖空调系统的建筑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简要说明采用的可控的热环境调节装置：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地下车库设置与排风设备联动的一氧化碳浓度监测装置。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简要说明地下车库一氧化碳浓度监测装置布点情况以及控制策略：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；详见图纸：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采取措施降低部分负荷、部分空间使用下的供暖、空调系统能耗，并符合下列规定：</w:t>
      </w:r>
      <w:r>
        <w:rPr>
          <w:rFonts w:ascii="Times New Roman"/>
          <w:sz w:val="24"/>
        </w:rPr>
        <w:t xml:space="preserve"> 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（1）根据房间的平面位置、使用功能、使用时间和朝向，合理划分供暖、空调区域，并对系统进行分区控制：□是、□否；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（2）空调冷源的部分负荷性能系数（IPLV）、电冷源综合制冷性能系数（SCOP）符合现行国家标准《公共建筑节能设计标准》GB 50189的规定。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空调冷源的部分负荷性能系数（IPLV）：</w:t>
      </w:r>
      <w:r>
        <w:rPr>
          <w:rFonts w:ascii="Times New Roman"/>
          <w:sz w:val="24"/>
        </w:rPr>
        <w:t xml:space="preserve"> </w:t>
      </w:r>
    </w:p>
    <w:tbl>
      <w:tblPr>
        <w:tblStyle w:val="12"/>
        <w:tblW w:w="69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54"/>
        <w:gridCol w:w="1417"/>
        <w:gridCol w:w="1578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设备类型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台数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额定制冷量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kW</w:t>
            </w:r>
            <w:r>
              <w:rPr>
                <w:rFonts w:ascii="Times New Roman"/>
                <w:kern w:val="0"/>
                <w:szCs w:val="21"/>
              </w:rPr>
              <w:t>）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部分负荷性能系数</w:t>
            </w:r>
            <w:r>
              <w:rPr>
                <w:rFonts w:hint="eastAsia" w:ascii="Times New Roman"/>
                <w:kern w:val="0"/>
                <w:szCs w:val="21"/>
              </w:rPr>
              <w:t>IPLV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设计值</w:t>
            </w:r>
          </w:p>
        </w:tc>
        <w:tc>
          <w:tcPr>
            <w:tcW w:w="157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详见</w:t>
      </w:r>
      <w:r>
        <w:rPr>
          <w:rFonts w:hint="eastAsia" w:ascii="Times New Roman"/>
          <w:sz w:val="24"/>
          <w:u w:val="single"/>
        </w:rPr>
        <w:t>《部分负荷性能系数计算书》</w:t>
      </w:r>
      <w:r>
        <w:rPr>
          <w:rFonts w:hint="eastAsia" w:ascii="Times New Roman"/>
          <w:sz w:val="24"/>
        </w:rPr>
        <w:t>；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IPLV计算表：</w:t>
      </w:r>
    </w:p>
    <w:tbl>
      <w:tblPr>
        <w:tblStyle w:val="13"/>
        <w:tblW w:w="875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276"/>
        <w:gridCol w:w="1134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设备类型/编号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负荷比例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100%（A）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75%（B）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50%（C）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25%（D）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IPLV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性能系数（W/W）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计算公式：IPLV=1.2%×A+32.8%×B+39.7%×C+26.3%×D</w:t>
            </w:r>
          </w:p>
        </w:tc>
      </w:tr>
    </w:tbl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空调冷源的电冷源综合制冷性能系数（SCOP）：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，详见</w:t>
      </w:r>
      <w:r>
        <w:rPr>
          <w:rFonts w:hint="eastAsia" w:ascii="Times New Roman"/>
          <w:sz w:val="24"/>
          <w:u w:val="single"/>
        </w:rPr>
        <w:t>《电冷源综合制冷性能系数计算书》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根据建筑空间功能设置分区温度，合理降低室内过渡区空间的温度设定标准。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室内过渡空间：□门厅、□中庭、□走廊、□高大空间中超出人员活动范围的空间、□其他：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left="142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简要说明建筑功能分区、空调系统分区情况和空调系统分区控制方式：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；详见图纸：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pStyle w:val="24"/>
        <w:numPr>
          <w:ilvl w:val="0"/>
          <w:numId w:val="16"/>
        </w:numPr>
        <w:spacing w:line="360" w:lineRule="auto"/>
        <w:ind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场地内有以下建筑或设施：□地下车库、□餐饮厨房、□锅炉房、□直燃机房、□柴油发电机房、□垃圾运转站、□医疗废气、□工业废气、□其他易产生烟、气、尘、噪声的建筑或设施：</w:t>
      </w:r>
      <w:r>
        <w:rPr>
          <w:rFonts w:hint="eastAsia" w:ascii="Times New Roman"/>
          <w:sz w:val="24"/>
          <w:u w:val="single"/>
        </w:rPr>
        <w:t xml:space="preserve">          </w:t>
      </w:r>
      <w:r>
        <w:rPr>
          <w:rFonts w:hint="eastAsia" w:ascii="Times New Roman"/>
          <w:sz w:val="24"/>
        </w:rPr>
        <w:t>、□以上皆无。</w:t>
      </w:r>
    </w:p>
    <w:p>
      <w:pPr>
        <w:pStyle w:val="24"/>
        <w:spacing w:line="360" w:lineRule="auto"/>
        <w:ind w:left="150" w:firstLine="0" w:firstLineChars="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如有，简要说明避免排放超标的控制措施：</w:t>
      </w:r>
      <w:r>
        <w:rPr>
          <w:rFonts w:hint="eastAsia" w:ascii="Times New Roman"/>
          <w:sz w:val="24"/>
          <w:u w:val="single"/>
        </w:rPr>
        <w:t xml:space="preserve">                          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rPr>
          <w:rFonts w:ascii="Times New Roman"/>
          <w:sz w:val="24"/>
        </w:rPr>
      </w:pPr>
    </w:p>
    <w:p>
      <w:pPr>
        <w:pStyle w:val="24"/>
        <w:numPr>
          <w:ilvl w:val="0"/>
          <w:numId w:val="14"/>
        </w:numPr>
        <w:spacing w:line="360" w:lineRule="auto"/>
        <w:ind w:left="-210" w:leftChars="-100" w:firstLineChars="0"/>
        <w:rPr>
          <w:rFonts w:ascii="Times New Roman"/>
          <w:szCs w:val="21"/>
        </w:rPr>
      </w:pPr>
      <w:r>
        <w:rPr>
          <w:rFonts w:hint="eastAsia"/>
          <w:b/>
          <w:sz w:val="28"/>
          <w:szCs w:val="28"/>
        </w:rPr>
        <w:t>绿色建筑</w:t>
      </w:r>
      <w:r>
        <w:rPr>
          <w:rFonts w:hint="eastAsia" w:ascii="Times New Roman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星级</w:t>
      </w:r>
    </w:p>
    <w:p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根据项目特点合理选择</w:t>
      </w:r>
      <w:r>
        <w:rPr>
          <w:rFonts w:hint="eastAsia" w:ascii="Times New Roman"/>
          <w:sz w:val="24"/>
        </w:rPr>
        <w:t>绿色建筑的</w:t>
      </w:r>
      <w:r>
        <w:rPr>
          <w:rFonts w:ascii="Times New Roman"/>
          <w:sz w:val="24"/>
        </w:rPr>
        <w:t>技术路线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增加相关</w:t>
      </w:r>
      <w:r>
        <w:rPr>
          <w:rFonts w:hint="eastAsia" w:ascii="Times New Roman"/>
          <w:sz w:val="24"/>
        </w:rPr>
        <w:t>条款、</w:t>
      </w:r>
      <w:r>
        <w:rPr>
          <w:rFonts w:ascii="Times New Roman"/>
          <w:sz w:val="24"/>
        </w:rPr>
        <w:t>说明、图纸和报告。</w:t>
      </w:r>
    </w:p>
    <w:p>
      <w:pPr>
        <w:spacing w:line="360" w:lineRule="auto"/>
        <w:rPr>
          <w:rFonts w:ascii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546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9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CD270"/>
    <w:multiLevelType w:val="singleLevel"/>
    <w:tmpl w:val="A87CD27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6576A78"/>
    <w:multiLevelType w:val="multilevel"/>
    <w:tmpl w:val="06576A78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2">
    <w:nsid w:val="07AD2CB0"/>
    <w:multiLevelType w:val="multilevel"/>
    <w:tmpl w:val="07AD2CB0"/>
    <w:lvl w:ilvl="0" w:tentative="0">
      <w:start w:val="1"/>
      <w:numFmt w:val="decimal"/>
      <w:suff w:val="nothing"/>
      <w:lvlText w:val="%1、"/>
      <w:lvlJc w:val="left"/>
      <w:pPr>
        <w:ind w:left="150" w:hanging="360"/>
      </w:pPr>
      <w:rPr>
        <w:rFonts w:hint="default" w:ascii="Times New Roman" w:hAnsi="Times New Roman" w:cs="Times New Roman"/>
        <w:b w:val="0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3">
    <w:nsid w:val="0E3715AF"/>
    <w:multiLevelType w:val="multilevel"/>
    <w:tmpl w:val="0E3715AF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default" w:asciiTheme="minorEastAsia" w:hAnsiTheme="minorEastAsia" w:eastAsiaTheme="minorEastAsia"/>
        <w:b/>
        <w:sz w:val="28"/>
        <w:szCs w:val="28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BE1145"/>
    <w:multiLevelType w:val="multilevel"/>
    <w:tmpl w:val="17BE1145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5">
    <w:nsid w:val="1C4B1C96"/>
    <w:multiLevelType w:val="multilevel"/>
    <w:tmpl w:val="1C4B1C96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596AFF"/>
    <w:multiLevelType w:val="multilevel"/>
    <w:tmpl w:val="1E596AFF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default"/>
        <w:b/>
        <w:sz w:val="28"/>
        <w:szCs w:val="28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CD78DA"/>
    <w:multiLevelType w:val="multilevel"/>
    <w:tmpl w:val="21CD78DA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8">
    <w:nsid w:val="24BB41AA"/>
    <w:multiLevelType w:val="multilevel"/>
    <w:tmpl w:val="24BB41AA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default"/>
        <w:b/>
        <w:sz w:val="28"/>
        <w:szCs w:val="28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5B2DBC"/>
    <w:multiLevelType w:val="multilevel"/>
    <w:tmpl w:val="265B2DBC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10">
    <w:nsid w:val="26612087"/>
    <w:multiLevelType w:val="multilevel"/>
    <w:tmpl w:val="26612087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11">
    <w:nsid w:val="3F985CF9"/>
    <w:multiLevelType w:val="multilevel"/>
    <w:tmpl w:val="3F985CF9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12">
    <w:nsid w:val="42654F48"/>
    <w:multiLevelType w:val="multilevel"/>
    <w:tmpl w:val="42654F48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13">
    <w:nsid w:val="426F59E7"/>
    <w:multiLevelType w:val="multilevel"/>
    <w:tmpl w:val="426F59E7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default"/>
        <w:b/>
        <w:sz w:val="28"/>
        <w:szCs w:val="28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7FB3D9F"/>
    <w:multiLevelType w:val="multilevel"/>
    <w:tmpl w:val="47FB3D9F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abstractNum w:abstractNumId="15">
    <w:nsid w:val="62C14EE9"/>
    <w:multiLevelType w:val="multilevel"/>
    <w:tmpl w:val="62C14EE9"/>
    <w:lvl w:ilvl="0" w:tentative="0">
      <w:start w:val="1"/>
      <w:numFmt w:val="decimal"/>
      <w:lvlText w:val="%1、"/>
      <w:lvlJc w:val="left"/>
      <w:pPr>
        <w:ind w:left="15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CB6"/>
    <w:rsid w:val="00000F0D"/>
    <w:rsid w:val="00012E67"/>
    <w:rsid w:val="000235F6"/>
    <w:rsid w:val="000337FB"/>
    <w:rsid w:val="00036024"/>
    <w:rsid w:val="0003782C"/>
    <w:rsid w:val="000469F8"/>
    <w:rsid w:val="00051CFF"/>
    <w:rsid w:val="000528C3"/>
    <w:rsid w:val="00052C2D"/>
    <w:rsid w:val="00055C23"/>
    <w:rsid w:val="00063D7C"/>
    <w:rsid w:val="00065116"/>
    <w:rsid w:val="00066E68"/>
    <w:rsid w:val="000717D6"/>
    <w:rsid w:val="00094BAD"/>
    <w:rsid w:val="000A4380"/>
    <w:rsid w:val="000A562C"/>
    <w:rsid w:val="000C2816"/>
    <w:rsid w:val="000C4D92"/>
    <w:rsid w:val="000C5367"/>
    <w:rsid w:val="000D07D4"/>
    <w:rsid w:val="000D192B"/>
    <w:rsid w:val="000E7B9A"/>
    <w:rsid w:val="001055D8"/>
    <w:rsid w:val="0011511E"/>
    <w:rsid w:val="0014474C"/>
    <w:rsid w:val="00156228"/>
    <w:rsid w:val="00156369"/>
    <w:rsid w:val="00157495"/>
    <w:rsid w:val="001577F6"/>
    <w:rsid w:val="0017217F"/>
    <w:rsid w:val="00173797"/>
    <w:rsid w:val="00177AF6"/>
    <w:rsid w:val="00177FD1"/>
    <w:rsid w:val="00180F7F"/>
    <w:rsid w:val="00180FDF"/>
    <w:rsid w:val="0018133A"/>
    <w:rsid w:val="00196598"/>
    <w:rsid w:val="001A5C32"/>
    <w:rsid w:val="001B1A9E"/>
    <w:rsid w:val="001B3A0A"/>
    <w:rsid w:val="001B6E5F"/>
    <w:rsid w:val="001C221E"/>
    <w:rsid w:val="001C44EF"/>
    <w:rsid w:val="001C6A07"/>
    <w:rsid w:val="001F0CAA"/>
    <w:rsid w:val="001F6DF4"/>
    <w:rsid w:val="001F7190"/>
    <w:rsid w:val="00200ED9"/>
    <w:rsid w:val="00202035"/>
    <w:rsid w:val="00217B74"/>
    <w:rsid w:val="002240FD"/>
    <w:rsid w:val="00231367"/>
    <w:rsid w:val="00235D5E"/>
    <w:rsid w:val="0023613B"/>
    <w:rsid w:val="002437A0"/>
    <w:rsid w:val="00264641"/>
    <w:rsid w:val="00276B11"/>
    <w:rsid w:val="00277471"/>
    <w:rsid w:val="002A10A7"/>
    <w:rsid w:val="002A5ADB"/>
    <w:rsid w:val="002D1C8B"/>
    <w:rsid w:val="002D4FE0"/>
    <w:rsid w:val="002E3D9C"/>
    <w:rsid w:val="002F7CC2"/>
    <w:rsid w:val="00301464"/>
    <w:rsid w:val="00305D61"/>
    <w:rsid w:val="00316076"/>
    <w:rsid w:val="003249AA"/>
    <w:rsid w:val="00334521"/>
    <w:rsid w:val="00360024"/>
    <w:rsid w:val="00360D93"/>
    <w:rsid w:val="0036389E"/>
    <w:rsid w:val="003645A3"/>
    <w:rsid w:val="00366F85"/>
    <w:rsid w:val="0037209A"/>
    <w:rsid w:val="00376698"/>
    <w:rsid w:val="00390E06"/>
    <w:rsid w:val="003957CB"/>
    <w:rsid w:val="0039768E"/>
    <w:rsid w:val="003A43A1"/>
    <w:rsid w:val="003B4506"/>
    <w:rsid w:val="003D1097"/>
    <w:rsid w:val="003F5917"/>
    <w:rsid w:val="00412C6F"/>
    <w:rsid w:val="0041543C"/>
    <w:rsid w:val="0042324E"/>
    <w:rsid w:val="00423833"/>
    <w:rsid w:val="00426F1B"/>
    <w:rsid w:val="00443897"/>
    <w:rsid w:val="00447AC3"/>
    <w:rsid w:val="00456BF0"/>
    <w:rsid w:val="00457869"/>
    <w:rsid w:val="004652EA"/>
    <w:rsid w:val="0047179C"/>
    <w:rsid w:val="0047483C"/>
    <w:rsid w:val="00475D95"/>
    <w:rsid w:val="004A7B18"/>
    <w:rsid w:val="004B134D"/>
    <w:rsid w:val="004C306E"/>
    <w:rsid w:val="004D50FA"/>
    <w:rsid w:val="004D5471"/>
    <w:rsid w:val="004E625E"/>
    <w:rsid w:val="004E71BB"/>
    <w:rsid w:val="005047DB"/>
    <w:rsid w:val="005449A0"/>
    <w:rsid w:val="00561AF0"/>
    <w:rsid w:val="005622B9"/>
    <w:rsid w:val="005721F8"/>
    <w:rsid w:val="00576D17"/>
    <w:rsid w:val="00576ECA"/>
    <w:rsid w:val="00577FAF"/>
    <w:rsid w:val="00580470"/>
    <w:rsid w:val="00592789"/>
    <w:rsid w:val="00595385"/>
    <w:rsid w:val="005B1CB6"/>
    <w:rsid w:val="005B1E05"/>
    <w:rsid w:val="005B5AF3"/>
    <w:rsid w:val="005B6D70"/>
    <w:rsid w:val="005B6E22"/>
    <w:rsid w:val="005C0BFB"/>
    <w:rsid w:val="005C6BD7"/>
    <w:rsid w:val="005C7FEB"/>
    <w:rsid w:val="005D317C"/>
    <w:rsid w:val="005E17DB"/>
    <w:rsid w:val="005E2973"/>
    <w:rsid w:val="005E4F4A"/>
    <w:rsid w:val="005F4996"/>
    <w:rsid w:val="0060653E"/>
    <w:rsid w:val="00612470"/>
    <w:rsid w:val="00627C60"/>
    <w:rsid w:val="006566C7"/>
    <w:rsid w:val="00672352"/>
    <w:rsid w:val="0068122F"/>
    <w:rsid w:val="006830DD"/>
    <w:rsid w:val="00686FEE"/>
    <w:rsid w:val="006872E2"/>
    <w:rsid w:val="00687454"/>
    <w:rsid w:val="006A0747"/>
    <w:rsid w:val="006A74CB"/>
    <w:rsid w:val="006B329C"/>
    <w:rsid w:val="006E0033"/>
    <w:rsid w:val="006E0339"/>
    <w:rsid w:val="006E60ED"/>
    <w:rsid w:val="006F3727"/>
    <w:rsid w:val="00705915"/>
    <w:rsid w:val="00710A30"/>
    <w:rsid w:val="007130F2"/>
    <w:rsid w:val="007221D1"/>
    <w:rsid w:val="00727F02"/>
    <w:rsid w:val="00732326"/>
    <w:rsid w:val="007451F9"/>
    <w:rsid w:val="00750453"/>
    <w:rsid w:val="00750C15"/>
    <w:rsid w:val="00764C63"/>
    <w:rsid w:val="0076526B"/>
    <w:rsid w:val="007724B8"/>
    <w:rsid w:val="00774ABA"/>
    <w:rsid w:val="00785E65"/>
    <w:rsid w:val="007912F2"/>
    <w:rsid w:val="00795F49"/>
    <w:rsid w:val="007A620B"/>
    <w:rsid w:val="007E4704"/>
    <w:rsid w:val="007E5BB2"/>
    <w:rsid w:val="007F5699"/>
    <w:rsid w:val="00815A7F"/>
    <w:rsid w:val="00821C5D"/>
    <w:rsid w:val="00830F3B"/>
    <w:rsid w:val="00834B1E"/>
    <w:rsid w:val="008445A8"/>
    <w:rsid w:val="00847E84"/>
    <w:rsid w:val="00856844"/>
    <w:rsid w:val="008607D3"/>
    <w:rsid w:val="008622A2"/>
    <w:rsid w:val="00866C62"/>
    <w:rsid w:val="00873AC3"/>
    <w:rsid w:val="0087410F"/>
    <w:rsid w:val="008A0D8F"/>
    <w:rsid w:val="008A2A46"/>
    <w:rsid w:val="008A532E"/>
    <w:rsid w:val="008D0285"/>
    <w:rsid w:val="008D3DDE"/>
    <w:rsid w:val="008D53D5"/>
    <w:rsid w:val="008E0003"/>
    <w:rsid w:val="008E28D8"/>
    <w:rsid w:val="0090011F"/>
    <w:rsid w:val="0090235D"/>
    <w:rsid w:val="00905E8E"/>
    <w:rsid w:val="00927BDB"/>
    <w:rsid w:val="00932BC5"/>
    <w:rsid w:val="0094196D"/>
    <w:rsid w:val="009425A4"/>
    <w:rsid w:val="00956C1C"/>
    <w:rsid w:val="00985554"/>
    <w:rsid w:val="009A3C99"/>
    <w:rsid w:val="009C1C6F"/>
    <w:rsid w:val="009C4D0D"/>
    <w:rsid w:val="009D70FC"/>
    <w:rsid w:val="009D768D"/>
    <w:rsid w:val="009E631C"/>
    <w:rsid w:val="009F5540"/>
    <w:rsid w:val="00A05339"/>
    <w:rsid w:val="00A06EB0"/>
    <w:rsid w:val="00A15CBA"/>
    <w:rsid w:val="00A214FE"/>
    <w:rsid w:val="00A218A3"/>
    <w:rsid w:val="00A264F6"/>
    <w:rsid w:val="00A317BC"/>
    <w:rsid w:val="00A53610"/>
    <w:rsid w:val="00A5473B"/>
    <w:rsid w:val="00A56CD1"/>
    <w:rsid w:val="00A6697D"/>
    <w:rsid w:val="00A71DDA"/>
    <w:rsid w:val="00A80FE0"/>
    <w:rsid w:val="00A919AE"/>
    <w:rsid w:val="00AA6B16"/>
    <w:rsid w:val="00AC2923"/>
    <w:rsid w:val="00AC6EA1"/>
    <w:rsid w:val="00AD5F5F"/>
    <w:rsid w:val="00AE5A04"/>
    <w:rsid w:val="00AF5A8C"/>
    <w:rsid w:val="00B12BBE"/>
    <w:rsid w:val="00B4100C"/>
    <w:rsid w:val="00B50840"/>
    <w:rsid w:val="00B51EE4"/>
    <w:rsid w:val="00B741FA"/>
    <w:rsid w:val="00B82148"/>
    <w:rsid w:val="00B86740"/>
    <w:rsid w:val="00B86B52"/>
    <w:rsid w:val="00BA0FF3"/>
    <w:rsid w:val="00BD5A09"/>
    <w:rsid w:val="00BE1CCD"/>
    <w:rsid w:val="00BE38C2"/>
    <w:rsid w:val="00C40AAC"/>
    <w:rsid w:val="00C448F1"/>
    <w:rsid w:val="00C457FA"/>
    <w:rsid w:val="00C65C7B"/>
    <w:rsid w:val="00C65EF0"/>
    <w:rsid w:val="00C66E8C"/>
    <w:rsid w:val="00C71C7B"/>
    <w:rsid w:val="00C7601B"/>
    <w:rsid w:val="00C9146B"/>
    <w:rsid w:val="00CA5564"/>
    <w:rsid w:val="00CB06C0"/>
    <w:rsid w:val="00CB0DA0"/>
    <w:rsid w:val="00CC3FAD"/>
    <w:rsid w:val="00CC50DD"/>
    <w:rsid w:val="00CD7F7F"/>
    <w:rsid w:val="00CE321B"/>
    <w:rsid w:val="00CF606C"/>
    <w:rsid w:val="00D0098E"/>
    <w:rsid w:val="00D122A3"/>
    <w:rsid w:val="00D12C41"/>
    <w:rsid w:val="00D20D53"/>
    <w:rsid w:val="00D312F9"/>
    <w:rsid w:val="00D56F39"/>
    <w:rsid w:val="00D623E0"/>
    <w:rsid w:val="00D82973"/>
    <w:rsid w:val="00D916BC"/>
    <w:rsid w:val="00D97470"/>
    <w:rsid w:val="00DA1B37"/>
    <w:rsid w:val="00DC4B7D"/>
    <w:rsid w:val="00DE6297"/>
    <w:rsid w:val="00DE7977"/>
    <w:rsid w:val="00DF67AF"/>
    <w:rsid w:val="00E01F74"/>
    <w:rsid w:val="00E07CFF"/>
    <w:rsid w:val="00E12DED"/>
    <w:rsid w:val="00E131BB"/>
    <w:rsid w:val="00E154C8"/>
    <w:rsid w:val="00E1706E"/>
    <w:rsid w:val="00E27278"/>
    <w:rsid w:val="00E5165C"/>
    <w:rsid w:val="00E56A05"/>
    <w:rsid w:val="00E6070E"/>
    <w:rsid w:val="00E73422"/>
    <w:rsid w:val="00E76E82"/>
    <w:rsid w:val="00EA0BCA"/>
    <w:rsid w:val="00EA3486"/>
    <w:rsid w:val="00EA45AE"/>
    <w:rsid w:val="00EA4AC9"/>
    <w:rsid w:val="00EC6FB1"/>
    <w:rsid w:val="00ED60C0"/>
    <w:rsid w:val="00EE17BE"/>
    <w:rsid w:val="00F05AA7"/>
    <w:rsid w:val="00F14BA0"/>
    <w:rsid w:val="00F162B9"/>
    <w:rsid w:val="00F17B30"/>
    <w:rsid w:val="00F2112B"/>
    <w:rsid w:val="00F222AA"/>
    <w:rsid w:val="00F2466D"/>
    <w:rsid w:val="00F26037"/>
    <w:rsid w:val="00F62F14"/>
    <w:rsid w:val="00F760B9"/>
    <w:rsid w:val="00F9105B"/>
    <w:rsid w:val="00FA6E7E"/>
    <w:rsid w:val="00FB0E2B"/>
    <w:rsid w:val="00FB6C96"/>
    <w:rsid w:val="00FC6650"/>
    <w:rsid w:val="00FD42FA"/>
    <w:rsid w:val="00FD46CE"/>
    <w:rsid w:val="00FD542E"/>
    <w:rsid w:val="00FE659E"/>
    <w:rsid w:val="00FF57F6"/>
    <w:rsid w:val="015B5324"/>
    <w:rsid w:val="04C74C88"/>
    <w:rsid w:val="06213F6B"/>
    <w:rsid w:val="063B575A"/>
    <w:rsid w:val="0C1325BE"/>
    <w:rsid w:val="0F1E3774"/>
    <w:rsid w:val="0FDB6B98"/>
    <w:rsid w:val="14D0241E"/>
    <w:rsid w:val="161F52DB"/>
    <w:rsid w:val="19892EAC"/>
    <w:rsid w:val="228D4F7E"/>
    <w:rsid w:val="286976C2"/>
    <w:rsid w:val="2ABE35A6"/>
    <w:rsid w:val="2CAC788E"/>
    <w:rsid w:val="2D2E023C"/>
    <w:rsid w:val="2D5E1BB6"/>
    <w:rsid w:val="2FA11854"/>
    <w:rsid w:val="300D2127"/>
    <w:rsid w:val="309C2677"/>
    <w:rsid w:val="30AF608E"/>
    <w:rsid w:val="31B82DE0"/>
    <w:rsid w:val="344554A0"/>
    <w:rsid w:val="350C4EA5"/>
    <w:rsid w:val="39516FB8"/>
    <w:rsid w:val="3DDE76F0"/>
    <w:rsid w:val="3E35063B"/>
    <w:rsid w:val="472462E6"/>
    <w:rsid w:val="492453E8"/>
    <w:rsid w:val="4A964656"/>
    <w:rsid w:val="4C084813"/>
    <w:rsid w:val="4CAD30CC"/>
    <w:rsid w:val="532F027F"/>
    <w:rsid w:val="534D138D"/>
    <w:rsid w:val="5380493B"/>
    <w:rsid w:val="5582747A"/>
    <w:rsid w:val="56BC2351"/>
    <w:rsid w:val="57F27905"/>
    <w:rsid w:val="583B7AE8"/>
    <w:rsid w:val="58503A2D"/>
    <w:rsid w:val="5EBC39AC"/>
    <w:rsid w:val="679C27F6"/>
    <w:rsid w:val="6C360538"/>
    <w:rsid w:val="6CC971A7"/>
    <w:rsid w:val="6DE479F6"/>
    <w:rsid w:val="6F7F5EB6"/>
    <w:rsid w:val="7E8D0EA9"/>
    <w:rsid w:val="7F15568A"/>
    <w:rsid w:val="7F5B956B"/>
    <w:rsid w:val="AFF29496"/>
    <w:rsid w:val="EF5FB817"/>
    <w:rsid w:val="FFAB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unhideWhenUsed/>
    <w:qFormat/>
    <w:uiPriority w:val="99"/>
    <w:rPr>
      <w:rFonts w:ascii="宋体" w:hAnsi="Times New Roman"/>
      <w:kern w:val="0"/>
      <w:sz w:val="18"/>
      <w:szCs w:val="18"/>
    </w:rPr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Char"/>
    <w:basedOn w:val="14"/>
    <w:link w:val="4"/>
    <w:qFormat/>
    <w:uiPriority w:val="9"/>
    <w:rPr>
      <w:b/>
      <w:bCs/>
      <w:kern w:val="2"/>
      <w:sz w:val="32"/>
      <w:szCs w:val="32"/>
    </w:rPr>
  </w:style>
  <w:style w:type="character" w:customStyle="1" w:styleId="21">
    <w:name w:val="标题 5 Char"/>
    <w:basedOn w:val="14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22">
    <w:name w:val="页眉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4"/>
    <w:link w:val="9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文档结构图 Char"/>
    <w:link w:val="6"/>
    <w:qFormat/>
    <w:uiPriority w:val="99"/>
    <w:rPr>
      <w:rFonts w:ascii="宋体" w:hAnsi="Times New Roman"/>
      <w:sz w:val="18"/>
      <w:szCs w:val="18"/>
    </w:rPr>
  </w:style>
  <w:style w:type="character" w:customStyle="1" w:styleId="26">
    <w:name w:val="条文 Char"/>
    <w:link w:val="27"/>
    <w:qFormat/>
    <w:locked/>
    <w:uiPriority w:val="99"/>
    <w:rPr>
      <w:rFonts w:ascii="Times New Roman" w:hAnsi="Times New Roman"/>
      <w:sz w:val="24"/>
      <w:szCs w:val="24"/>
    </w:rPr>
  </w:style>
  <w:style w:type="paragraph" w:customStyle="1" w:styleId="27">
    <w:name w:val="条文"/>
    <w:basedOn w:val="1"/>
    <w:link w:val="26"/>
    <w:qFormat/>
    <w:uiPriority w:val="99"/>
    <w:pPr>
      <w:spacing w:line="300" w:lineRule="auto"/>
      <w:outlineLvl w:val="2"/>
    </w:pPr>
    <w:rPr>
      <w:rFonts w:ascii="Times New Roman" w:hAnsi="Times New Roman"/>
      <w:kern w:val="0"/>
      <w:sz w:val="24"/>
    </w:rPr>
  </w:style>
  <w:style w:type="character" w:customStyle="1" w:styleId="28">
    <w:name w:val="文档结构图 Char1"/>
    <w:basedOn w:val="14"/>
    <w:link w:val="6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批注文字 Char"/>
    <w:basedOn w:val="14"/>
    <w:link w:val="7"/>
    <w:semiHidden/>
    <w:qFormat/>
    <w:uiPriority w:val="99"/>
    <w:rPr>
      <w:kern w:val="2"/>
      <w:sz w:val="21"/>
      <w:szCs w:val="24"/>
    </w:rPr>
  </w:style>
  <w:style w:type="character" w:customStyle="1" w:styleId="31">
    <w:name w:val="批注主题 Char"/>
    <w:basedOn w:val="30"/>
    <w:link w:val="11"/>
    <w:semiHidden/>
    <w:qFormat/>
    <w:uiPriority w:val="99"/>
    <w:rPr>
      <w:b/>
      <w:bCs/>
    </w:rPr>
  </w:style>
  <w:style w:type="character" w:customStyle="1" w:styleId="32">
    <w:name w:val="批注框文本 Char"/>
    <w:basedOn w:val="14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20</Pages>
  <Words>1958</Words>
  <Characters>11164</Characters>
  <Lines>93</Lines>
  <Paragraphs>26</Paragraphs>
  <TotalTime>2</TotalTime>
  <ScaleCrop>false</ScaleCrop>
  <LinksUpToDate>false</LinksUpToDate>
  <CharactersWithSpaces>13096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2021-07-27T09:20:00Z</dcterms:created>
  <dc:creator>FAN</dc:creator>
  <cp:lastModifiedBy>Administrator</cp:lastModifiedBy>
  <cp:lastPrinted>2021-07-28T17:38:00Z</cp:lastPrinted>
  <dcterms:modified xsi:type="dcterms:W3CDTF">2021-12-22T05:26:30Z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382298B6847F4321B41AD60C69707B7B</vt:lpwstr>
  </property>
</Properties>
</file>